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8E" w:rsidRDefault="002A5731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У</w:t>
      </w:r>
      <w:r w:rsidR="007B22C9">
        <w:rPr>
          <w:sz w:val="28"/>
          <w:szCs w:val="28"/>
        </w:rPr>
        <w:t>твержден</w:t>
      </w:r>
    </w:p>
    <w:p w:rsidR="00985E8E" w:rsidRDefault="00985E8E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Общественным советом при </w:t>
      </w:r>
      <w:r w:rsidR="007B22C9">
        <w:rPr>
          <w:sz w:val="28"/>
          <w:szCs w:val="28"/>
        </w:rPr>
        <w:t>Комитете государственного регулирования</w:t>
      </w:r>
      <w:r w:rsidR="002A5731">
        <w:rPr>
          <w:sz w:val="28"/>
          <w:szCs w:val="28"/>
        </w:rPr>
        <w:t xml:space="preserve"> цен и тарифов </w:t>
      </w:r>
      <w:r w:rsidR="007B22C9">
        <w:rPr>
          <w:sz w:val="28"/>
          <w:szCs w:val="28"/>
        </w:rPr>
        <w:t>Чукотского автономного округа</w:t>
      </w:r>
    </w:p>
    <w:p w:rsidR="00985E8E" w:rsidRDefault="007B22C9" w:rsidP="001A2B9A">
      <w:pPr>
        <w:pStyle w:val="20"/>
        <w:shd w:val="clear" w:color="auto" w:fill="auto"/>
        <w:spacing w:line="24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«</w:t>
      </w:r>
      <w:r w:rsidR="00F97E49">
        <w:rPr>
          <w:sz w:val="28"/>
          <w:szCs w:val="28"/>
          <w:u w:val="single"/>
        </w:rPr>
        <w:t xml:space="preserve"> 6 </w:t>
      </w:r>
      <w:r>
        <w:rPr>
          <w:sz w:val="28"/>
          <w:szCs w:val="28"/>
        </w:rPr>
        <w:t>»</w:t>
      </w:r>
      <w:r w:rsidR="00F97E49">
        <w:rPr>
          <w:sz w:val="28"/>
          <w:szCs w:val="28"/>
          <w:u w:val="single"/>
        </w:rPr>
        <w:t xml:space="preserve">  марта  </w:t>
      </w:r>
      <w:r w:rsidR="00985E8E">
        <w:rPr>
          <w:sz w:val="28"/>
          <w:szCs w:val="28"/>
        </w:rPr>
        <w:t xml:space="preserve"> 20</w:t>
      </w:r>
      <w:r w:rsidR="00F97E49">
        <w:rPr>
          <w:sz w:val="28"/>
          <w:szCs w:val="28"/>
          <w:u w:val="single"/>
        </w:rPr>
        <w:t xml:space="preserve"> 20 </w:t>
      </w:r>
      <w:r w:rsidR="00985E8E">
        <w:rPr>
          <w:sz w:val="28"/>
          <w:szCs w:val="28"/>
        </w:rPr>
        <w:t xml:space="preserve"> года</w:t>
      </w:r>
    </w:p>
    <w:p w:rsidR="00985E8E" w:rsidRDefault="00985E8E" w:rsidP="00985E8E">
      <w:pPr>
        <w:pStyle w:val="3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A6575E" w:rsidRDefault="00A6575E" w:rsidP="007B22C9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985E8E" w:rsidRDefault="00985E8E" w:rsidP="007B22C9">
      <w:pPr>
        <w:pStyle w:val="3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7B22C9">
        <w:rPr>
          <w:sz w:val="28"/>
          <w:szCs w:val="28"/>
        </w:rPr>
        <w:t>оклад</w:t>
      </w:r>
    </w:p>
    <w:p w:rsidR="00985E8E" w:rsidRDefault="00985E8E" w:rsidP="007B22C9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 w:rsidRPr="007B22C9">
        <w:rPr>
          <w:b/>
          <w:sz w:val="28"/>
          <w:szCs w:val="28"/>
        </w:rPr>
        <w:t xml:space="preserve">об </w:t>
      </w:r>
      <w:r w:rsidR="008F62E7" w:rsidRPr="007B22C9">
        <w:rPr>
          <w:b/>
          <w:sz w:val="28"/>
          <w:szCs w:val="28"/>
        </w:rPr>
        <w:t>антимонопольн</w:t>
      </w:r>
      <w:r w:rsidR="007B22C9" w:rsidRPr="007B22C9">
        <w:rPr>
          <w:b/>
          <w:sz w:val="28"/>
          <w:szCs w:val="28"/>
        </w:rPr>
        <w:t>ом</w:t>
      </w:r>
      <w:r w:rsidR="008F62E7" w:rsidRPr="007B22C9">
        <w:rPr>
          <w:b/>
          <w:sz w:val="28"/>
          <w:szCs w:val="28"/>
        </w:rPr>
        <w:t xml:space="preserve"> комплаенс</w:t>
      </w:r>
      <w:r w:rsidR="007B22C9" w:rsidRPr="007B22C9">
        <w:rPr>
          <w:b/>
          <w:sz w:val="28"/>
          <w:szCs w:val="28"/>
        </w:rPr>
        <w:t xml:space="preserve">е </w:t>
      </w:r>
      <w:r w:rsidR="00FD149A">
        <w:rPr>
          <w:b/>
          <w:sz w:val="28"/>
          <w:szCs w:val="28"/>
        </w:rPr>
        <w:t>в Комитете государственного регулирования цен и тарифов Чукотского автономного округа в</w:t>
      </w:r>
      <w:r w:rsidRPr="007B22C9">
        <w:rPr>
          <w:b/>
          <w:sz w:val="28"/>
          <w:szCs w:val="28"/>
        </w:rPr>
        <w:t xml:space="preserve"> 20</w:t>
      </w:r>
      <w:r w:rsidR="002A5731" w:rsidRPr="007B22C9">
        <w:rPr>
          <w:b/>
          <w:sz w:val="28"/>
          <w:szCs w:val="28"/>
        </w:rPr>
        <w:t>19</w:t>
      </w:r>
      <w:r w:rsidRPr="007B22C9">
        <w:rPr>
          <w:b/>
          <w:sz w:val="28"/>
          <w:szCs w:val="28"/>
        </w:rPr>
        <w:t xml:space="preserve"> год</w:t>
      </w:r>
      <w:r w:rsidR="00FD149A">
        <w:rPr>
          <w:b/>
          <w:sz w:val="28"/>
          <w:szCs w:val="28"/>
        </w:rPr>
        <w:t>у</w:t>
      </w:r>
    </w:p>
    <w:p w:rsidR="007B22C9" w:rsidRPr="007B22C9" w:rsidRDefault="007B22C9" w:rsidP="007B22C9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985E8E" w:rsidRDefault="00985E8E" w:rsidP="00985E8E">
      <w:pPr>
        <w:pStyle w:val="20"/>
        <w:shd w:val="clear" w:color="auto" w:fill="auto"/>
        <w:spacing w:line="234" w:lineRule="exact"/>
        <w:ind w:firstLine="709"/>
        <w:rPr>
          <w:sz w:val="28"/>
          <w:szCs w:val="28"/>
        </w:rPr>
      </w:pPr>
    </w:p>
    <w:p w:rsidR="00985E8E" w:rsidRDefault="00985E8E" w:rsidP="00D24F2F">
      <w:pPr>
        <w:pStyle w:val="30"/>
        <w:shd w:val="clear" w:color="auto" w:fill="auto"/>
        <w:tabs>
          <w:tab w:val="left" w:pos="4006"/>
        </w:tabs>
        <w:spacing w:after="120" w:line="2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Организация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комплаенса</w:t>
      </w:r>
    </w:p>
    <w:p w:rsidR="00985E8E" w:rsidRDefault="00985E8E" w:rsidP="001F4B16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Указа Презид</w:t>
      </w:r>
      <w:r w:rsidR="002A5731">
        <w:rPr>
          <w:sz w:val="28"/>
          <w:szCs w:val="28"/>
        </w:rPr>
        <w:t>ента Российской Федерации от 21</w:t>
      </w:r>
      <w:r w:rsidR="007B22C9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2017</w:t>
      </w:r>
      <w:r w:rsidR="007B22C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618 «Об основных направлениях государственной политики по развитию конкуренции»,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</w:t>
      </w:r>
      <w:r w:rsidR="002A5731">
        <w:rPr>
          <w:sz w:val="28"/>
          <w:szCs w:val="28"/>
        </w:rPr>
        <w:t>ства Российской Федерации от 18</w:t>
      </w:r>
      <w:r w:rsidR="007B22C9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2018 </w:t>
      </w:r>
      <w:r w:rsidR="007B22C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2258-р (далее – Методические рекомендации) </w:t>
      </w:r>
      <w:r w:rsidR="007B22C9">
        <w:rPr>
          <w:sz w:val="28"/>
          <w:szCs w:val="28"/>
        </w:rPr>
        <w:t>в 2019 году Комитетом государственного регулирования</w:t>
      </w:r>
      <w:proofErr w:type="gramEnd"/>
      <w:r w:rsidR="007B22C9">
        <w:rPr>
          <w:sz w:val="28"/>
          <w:szCs w:val="28"/>
        </w:rPr>
        <w:t xml:space="preserve"> цен и тарифов Чукотского автономного округа (далее – Комитет) </w:t>
      </w:r>
      <w:r>
        <w:rPr>
          <w:sz w:val="28"/>
          <w:szCs w:val="28"/>
        </w:rPr>
        <w:t>приняты меры</w:t>
      </w:r>
      <w:r w:rsidR="007B22C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B22C9" w:rsidRPr="003376EB">
        <w:rPr>
          <w:sz w:val="28"/>
          <w:szCs w:val="28"/>
        </w:rPr>
        <w:t>организации в Комитете системы внутреннего обеспечения соответствия требованиям антимонопольного законодательства</w:t>
      </w:r>
      <w:r w:rsidR="007B22C9">
        <w:rPr>
          <w:sz w:val="28"/>
          <w:szCs w:val="28"/>
        </w:rPr>
        <w:t xml:space="preserve"> (антимонопольный комплаенс)</w:t>
      </w:r>
      <w:r>
        <w:rPr>
          <w:sz w:val="28"/>
          <w:szCs w:val="28"/>
        </w:rPr>
        <w:t xml:space="preserve">. </w:t>
      </w:r>
    </w:p>
    <w:p w:rsidR="00985E8E" w:rsidRDefault="00AC297E" w:rsidP="001F4B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297E">
        <w:rPr>
          <w:rFonts w:ascii="Times New Roman" w:hAnsi="Times New Roman" w:cs="Times New Roman"/>
          <w:sz w:val="28"/>
          <w:szCs w:val="28"/>
        </w:rPr>
        <w:t xml:space="preserve">Приказом председателя Комитета от 22 февраля </w:t>
      </w:r>
      <w:r w:rsidR="005E4378" w:rsidRPr="00AC297E">
        <w:rPr>
          <w:rFonts w:ascii="Times New Roman" w:hAnsi="Times New Roman" w:cs="Times New Roman"/>
          <w:sz w:val="28"/>
          <w:szCs w:val="28"/>
        </w:rPr>
        <w:t xml:space="preserve">2019 </w:t>
      </w:r>
      <w:r w:rsidRPr="00AC297E">
        <w:rPr>
          <w:rFonts w:ascii="Times New Roman" w:hAnsi="Times New Roman" w:cs="Times New Roman"/>
          <w:sz w:val="28"/>
          <w:szCs w:val="28"/>
        </w:rPr>
        <w:t>г. №</w:t>
      </w:r>
      <w:r w:rsidR="00985E8E" w:rsidRPr="00AC297E">
        <w:rPr>
          <w:rFonts w:ascii="Times New Roman" w:hAnsi="Times New Roman" w:cs="Times New Roman"/>
          <w:sz w:val="28"/>
          <w:szCs w:val="28"/>
        </w:rPr>
        <w:t xml:space="preserve"> </w:t>
      </w:r>
      <w:r w:rsidRPr="00AC297E">
        <w:rPr>
          <w:rFonts w:ascii="Times New Roman" w:hAnsi="Times New Roman" w:cs="Times New Roman"/>
          <w:sz w:val="28"/>
          <w:szCs w:val="28"/>
        </w:rPr>
        <w:t>15-од</w:t>
      </w:r>
      <w:r w:rsidR="00970321" w:rsidRPr="00AC29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5E8E" w:rsidRPr="00AC297E">
        <w:rPr>
          <w:rFonts w:ascii="Times New Roman" w:hAnsi="Times New Roman" w:cs="Times New Roman"/>
          <w:sz w:val="28"/>
          <w:szCs w:val="28"/>
        </w:rPr>
        <w:t xml:space="preserve"> </w:t>
      </w:r>
      <w:r w:rsidRPr="00AC297E">
        <w:rPr>
          <w:rFonts w:ascii="Times New Roman" w:hAnsi="Times New Roman" w:cs="Times New Roman"/>
          <w:sz w:val="28"/>
          <w:szCs w:val="28"/>
        </w:rPr>
        <w:t>утверждено Положение об организации системы внутреннего обеспечения соответствия требованиям антимонопольного законодательства в Комитете</w:t>
      </w:r>
      <w:r w:rsidR="00985E8E" w:rsidRPr="00AC297E">
        <w:rPr>
          <w:rFonts w:ascii="Times New Roman" w:hAnsi="Times New Roman" w:cs="Times New Roman"/>
          <w:sz w:val="28"/>
          <w:szCs w:val="28"/>
        </w:rPr>
        <w:t>.</w:t>
      </w:r>
      <w:r w:rsidRPr="00AC297E">
        <w:rPr>
          <w:rFonts w:ascii="Times New Roman" w:hAnsi="Times New Roman" w:cs="Times New Roman"/>
          <w:sz w:val="28"/>
          <w:szCs w:val="28"/>
        </w:rPr>
        <w:t xml:space="preserve"> 18 марта 2019 г. председатель </w:t>
      </w:r>
      <w:r w:rsidR="001F4B16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C297E">
        <w:rPr>
          <w:rFonts w:ascii="Times New Roman" w:hAnsi="Times New Roman" w:cs="Times New Roman"/>
          <w:sz w:val="28"/>
          <w:szCs w:val="28"/>
        </w:rPr>
        <w:t>утвердил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297E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 </w:t>
      </w:r>
      <w:r w:rsidR="001F4B16">
        <w:rPr>
          <w:rFonts w:ascii="Times New Roman" w:hAnsi="Times New Roman" w:cs="Times New Roman"/>
          <w:sz w:val="28"/>
          <w:szCs w:val="28"/>
        </w:rPr>
        <w:t>и план мероприятий по снижению рисков нарушения антимонопольного законодательства. Также, п</w:t>
      </w:r>
      <w:r w:rsidRPr="00AC297E">
        <w:rPr>
          <w:rFonts w:ascii="Times New Roman" w:hAnsi="Times New Roman" w:cs="Times New Roman"/>
          <w:sz w:val="28"/>
          <w:szCs w:val="28"/>
        </w:rPr>
        <w:t xml:space="preserve">риказом от 30 декабря 2019 г. № 49-од утверждены </w:t>
      </w:r>
      <w:r w:rsidRPr="00AC297E">
        <w:rPr>
          <w:rFonts w:ascii="Times New Roman" w:hAnsi="Times New Roman" w:cs="Times New Roman"/>
          <w:sz w:val="28"/>
        </w:rPr>
        <w:t>ключевые показатели эффективности функционирования антимонопольного законодательства</w:t>
      </w:r>
      <w:r w:rsidRPr="00AC297E">
        <w:rPr>
          <w:rFonts w:ascii="Times New Roman" w:hAnsi="Times New Roman" w:cs="Times New Roman"/>
          <w:sz w:val="28"/>
          <w:szCs w:val="28"/>
        </w:rPr>
        <w:t xml:space="preserve"> в Комитете.</w:t>
      </w:r>
    </w:p>
    <w:p w:rsidR="001F4B16" w:rsidRDefault="001F4B16" w:rsidP="001F4B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AC297E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297E">
        <w:rPr>
          <w:rFonts w:ascii="Times New Roman" w:hAnsi="Times New Roman" w:cs="Times New Roman"/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5E4A">
        <w:rPr>
          <w:rFonts w:ascii="Times New Roman" w:hAnsi="Times New Roman" w:cs="Times New Roman"/>
          <w:sz w:val="28"/>
          <w:szCs w:val="28"/>
        </w:rPr>
        <w:t>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195E4A">
        <w:rPr>
          <w:rFonts w:ascii="Times New Roman" w:hAnsi="Times New Roman" w:cs="Times New Roman"/>
          <w:sz w:val="28"/>
          <w:szCs w:val="28"/>
        </w:rPr>
        <w:t xml:space="preserve"> за организацию и функционирование антимонопольного комплаенса в Комитете </w:t>
      </w:r>
      <w:r>
        <w:rPr>
          <w:rFonts w:ascii="Times New Roman" w:hAnsi="Times New Roman" w:cs="Times New Roman"/>
          <w:sz w:val="28"/>
          <w:szCs w:val="28"/>
        </w:rPr>
        <w:t>возложена на</w:t>
      </w:r>
      <w:r w:rsidRPr="00195E4A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95E4A">
        <w:rPr>
          <w:rFonts w:ascii="Times New Roman" w:hAnsi="Times New Roman" w:cs="Times New Roman"/>
          <w:sz w:val="28"/>
          <w:szCs w:val="28"/>
        </w:rPr>
        <w:t xml:space="preserve"> председателя Комитета и ведущ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95E4A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>
        <w:rPr>
          <w:rFonts w:ascii="Times New Roman" w:hAnsi="Times New Roman" w:cs="Times New Roman"/>
          <w:sz w:val="28"/>
          <w:szCs w:val="28"/>
        </w:rPr>
        <w:t>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34731">
        <w:rPr>
          <w:rFonts w:ascii="Times New Roman" w:hAnsi="Times New Roman" w:cs="Times New Roman"/>
          <w:sz w:val="28"/>
          <w:szCs w:val="28"/>
        </w:rPr>
        <w:t>бщий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731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473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34731">
        <w:rPr>
          <w:rFonts w:ascii="Times New Roman" w:hAnsi="Times New Roman" w:cs="Times New Roman"/>
          <w:sz w:val="28"/>
          <w:szCs w:val="28"/>
        </w:rPr>
        <w:t xml:space="preserve"> и функционировани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34731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 </w:t>
      </w:r>
      <w:r>
        <w:rPr>
          <w:rFonts w:ascii="Times New Roman" w:hAnsi="Times New Roman" w:cs="Times New Roman"/>
          <w:sz w:val="28"/>
          <w:szCs w:val="28"/>
        </w:rPr>
        <w:t>осуществляет председатель Комитета.</w:t>
      </w:r>
    </w:p>
    <w:p w:rsidR="00AA5E42" w:rsidRDefault="00AA5E42" w:rsidP="001F4B16">
      <w:pPr>
        <w:ind w:firstLine="851"/>
        <w:jc w:val="both"/>
        <w:rPr>
          <w:sz w:val="28"/>
          <w:szCs w:val="28"/>
        </w:rPr>
      </w:pPr>
      <w:r w:rsidRPr="00AA5E4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A5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«Деятельность Комитета» на странице Комитета на официальном сайте Чукотского автономного округа в информационно-телекоммуникационной сети «Интернет» </w:t>
      </w:r>
      <w:r w:rsidRPr="00AA5E42">
        <w:rPr>
          <w:rFonts w:ascii="Times New Roman" w:hAnsi="Times New Roman" w:cs="Times New Roman"/>
          <w:sz w:val="28"/>
          <w:szCs w:val="28"/>
        </w:rPr>
        <w:t>создан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AA5E42">
        <w:rPr>
          <w:rFonts w:ascii="Times New Roman" w:hAnsi="Times New Roman" w:cs="Times New Roman"/>
          <w:sz w:val="28"/>
          <w:szCs w:val="28"/>
        </w:rPr>
        <w:t>раздел «Антимонопольный комплаенс»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размещены в</w:t>
      </w:r>
      <w:r w:rsidR="001F4B16">
        <w:rPr>
          <w:rFonts w:ascii="Times New Roman" w:hAnsi="Times New Roman" w:cs="Times New Roman"/>
          <w:sz w:val="28"/>
          <w:szCs w:val="28"/>
        </w:rPr>
        <w:t>се документы, принятые в целях</w:t>
      </w:r>
      <w:r w:rsidR="001F4B16" w:rsidRPr="001F4B16">
        <w:rPr>
          <w:rFonts w:ascii="Times New Roman" w:hAnsi="Times New Roman" w:cs="Times New Roman"/>
          <w:sz w:val="28"/>
          <w:szCs w:val="28"/>
        </w:rPr>
        <w:t xml:space="preserve"> организации в Комитете системы внутреннего обеспечения соответствия требованиям </w:t>
      </w:r>
      <w:r w:rsidR="001F4B16" w:rsidRPr="001F4B16">
        <w:rPr>
          <w:rFonts w:ascii="Times New Roman" w:hAnsi="Times New Roman" w:cs="Times New Roman"/>
          <w:sz w:val="28"/>
          <w:szCs w:val="28"/>
        </w:rPr>
        <w:lastRenderedPageBreak/>
        <w:t>антимонопольного законодательства</w:t>
      </w:r>
      <w:r w:rsidR="001F4B16">
        <w:rPr>
          <w:rFonts w:ascii="Times New Roman" w:hAnsi="Times New Roman" w:cs="Times New Roman"/>
          <w:sz w:val="28"/>
          <w:szCs w:val="28"/>
        </w:rPr>
        <w:t>.</w:t>
      </w:r>
      <w:r w:rsidRPr="00AA5E42">
        <w:rPr>
          <w:sz w:val="28"/>
          <w:szCs w:val="28"/>
        </w:rPr>
        <w:t xml:space="preserve"> </w:t>
      </w:r>
    </w:p>
    <w:p w:rsidR="001F4B16" w:rsidRPr="00AC297E" w:rsidRDefault="00FC598A" w:rsidP="001F4B1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A5E42" w:rsidRPr="00AA5E42">
        <w:rPr>
          <w:rFonts w:ascii="Times New Roman" w:hAnsi="Times New Roman" w:cs="Times New Roman"/>
          <w:sz w:val="28"/>
          <w:szCs w:val="28"/>
        </w:rPr>
        <w:t xml:space="preserve"> целях выявления рисков нарушения антимонопольного законодательства в 2019 году Комитетом проведены следующие мероприятия:</w:t>
      </w:r>
    </w:p>
    <w:p w:rsidR="00AA5E42" w:rsidRDefault="00AA5E42" w:rsidP="00AA5E42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проверено наличие сведений о нарушениях антимонопольного законодательства, выявленных контрольными органами за предыдущие три года (наличие предостережений, предупреждений, штрафов, жалоб, возбужденных дел);</w:t>
      </w:r>
    </w:p>
    <w:p w:rsidR="00AA5E42" w:rsidRDefault="00AA5E42" w:rsidP="00AA5E42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 проведен анализ действующих нормативных правовых актов;</w:t>
      </w:r>
    </w:p>
    <w:p w:rsidR="00AA5E42" w:rsidRDefault="00AA5E42" w:rsidP="00AA5E42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 анализ проектов нормативных правовых актов, разрабатываемых </w:t>
      </w:r>
      <w:r w:rsidR="00FC598A">
        <w:rPr>
          <w:sz w:val="28"/>
          <w:szCs w:val="28"/>
        </w:rPr>
        <w:t>Комитетом</w:t>
      </w:r>
      <w:r>
        <w:rPr>
          <w:sz w:val="28"/>
          <w:szCs w:val="28"/>
        </w:rPr>
        <w:t>;</w:t>
      </w:r>
    </w:p>
    <w:p w:rsidR="00AA5E42" w:rsidRDefault="00AA5E42" w:rsidP="00AA5E42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проведен мониторинг и анализ практики применения антимонопольного законодательства; </w:t>
      </w:r>
    </w:p>
    <w:p w:rsidR="00AA5E42" w:rsidRDefault="00AA5E42" w:rsidP="00AA5E42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д) проведена работа по выявлению и оценке рисков нарушения антимонопольного законодательства;</w:t>
      </w:r>
    </w:p>
    <w:p w:rsidR="00A6575E" w:rsidRDefault="00AA5E42" w:rsidP="00072868">
      <w:pPr>
        <w:pStyle w:val="20"/>
        <w:shd w:val="clear" w:color="auto" w:fill="auto"/>
        <w:spacing w:after="120" w:line="32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е) проведены мероприятия по снижению рисков нарушений антимонопольного законодательства.</w:t>
      </w:r>
    </w:p>
    <w:p w:rsidR="00985E8E" w:rsidRDefault="00985E8E" w:rsidP="00CF223C">
      <w:pPr>
        <w:pStyle w:val="20"/>
        <w:shd w:val="clear" w:color="auto" w:fill="auto"/>
        <w:spacing w:after="120" w:line="313" w:lineRule="exact"/>
        <w:ind w:firstLine="708"/>
        <w:jc w:val="both"/>
        <w:rPr>
          <w:sz w:val="28"/>
          <w:szCs w:val="28"/>
        </w:rPr>
      </w:pPr>
    </w:p>
    <w:p w:rsidR="00985E8E" w:rsidRDefault="00985E8E" w:rsidP="00072868">
      <w:pPr>
        <w:pStyle w:val="20"/>
        <w:shd w:val="clear" w:color="auto" w:fill="auto"/>
        <w:spacing w:after="120" w:line="313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D30B6" w:rsidRPr="000D30B6">
        <w:rPr>
          <w:rFonts w:eastAsiaTheme="minorHAnsi"/>
          <w:b/>
          <w:sz w:val="28"/>
          <w:szCs w:val="28"/>
        </w:rPr>
        <w:t>Результаты проведенной оценки рисков нарушения Комитетом</w:t>
      </w:r>
      <w:r w:rsidR="000D30B6">
        <w:rPr>
          <w:rFonts w:eastAsiaTheme="minorHAnsi"/>
          <w:b/>
          <w:sz w:val="28"/>
          <w:szCs w:val="28"/>
        </w:rPr>
        <w:t xml:space="preserve"> государственного регулирования цен и тарифов Чукотского автономного округа </w:t>
      </w:r>
      <w:r w:rsidR="000D30B6" w:rsidRPr="000D30B6">
        <w:rPr>
          <w:rFonts w:eastAsiaTheme="minorHAnsi"/>
          <w:b/>
          <w:sz w:val="28"/>
          <w:szCs w:val="28"/>
        </w:rPr>
        <w:t>антимонопольного законодательства</w:t>
      </w:r>
    </w:p>
    <w:p w:rsidR="00072868" w:rsidRPr="00B92920" w:rsidRDefault="00072868" w:rsidP="00B92920">
      <w:pPr>
        <w:pStyle w:val="20"/>
        <w:shd w:val="clear" w:color="auto" w:fill="auto"/>
        <w:ind w:firstLine="760"/>
        <w:jc w:val="both"/>
        <w:rPr>
          <w:sz w:val="28"/>
          <w:szCs w:val="28"/>
        </w:rPr>
      </w:pPr>
      <w:r w:rsidRPr="00B92920">
        <w:rPr>
          <w:color w:val="000000"/>
          <w:sz w:val="28"/>
          <w:szCs w:val="28"/>
          <w:lang w:eastAsia="ru-RU" w:bidi="ru-RU"/>
        </w:rPr>
        <w:t>В целях выявления комплаенс-рисков</w:t>
      </w:r>
      <w:r w:rsidRPr="00B92920">
        <w:rPr>
          <w:sz w:val="28"/>
          <w:szCs w:val="28"/>
        </w:rPr>
        <w:t xml:space="preserve"> ответственными сотрудниками Комитета </w:t>
      </w:r>
      <w:r w:rsidR="000D30B6">
        <w:rPr>
          <w:sz w:val="28"/>
          <w:szCs w:val="28"/>
        </w:rPr>
        <w:t xml:space="preserve">в 2019 году </w:t>
      </w:r>
      <w:r w:rsidR="00B92920">
        <w:rPr>
          <w:color w:val="000000"/>
          <w:sz w:val="28"/>
          <w:szCs w:val="28"/>
          <w:lang w:eastAsia="ru-RU" w:bidi="ru-RU"/>
        </w:rPr>
        <w:t>собраны</w:t>
      </w:r>
      <w:r w:rsidRPr="00B92920">
        <w:rPr>
          <w:color w:val="000000"/>
          <w:sz w:val="28"/>
          <w:szCs w:val="28"/>
          <w:lang w:eastAsia="ru-RU" w:bidi="ru-RU"/>
        </w:rPr>
        <w:t xml:space="preserve"> от структурных подразделений Комитета </w:t>
      </w:r>
      <w:r w:rsidR="00B92920" w:rsidRPr="00B92920">
        <w:rPr>
          <w:color w:val="000000"/>
          <w:sz w:val="28"/>
          <w:szCs w:val="28"/>
          <w:lang w:eastAsia="ru-RU" w:bidi="ru-RU"/>
        </w:rPr>
        <w:t xml:space="preserve">предложения </w:t>
      </w:r>
      <w:r w:rsidRPr="00B92920">
        <w:rPr>
          <w:color w:val="000000"/>
          <w:sz w:val="28"/>
          <w:szCs w:val="28"/>
          <w:lang w:eastAsia="ru-RU" w:bidi="ru-RU"/>
        </w:rPr>
        <w:t xml:space="preserve">о наиболее вероятных нарушениях антимонопольного законодательства со стороны сотрудников подразделений, о возможных причинах и условиях их возникновения, </w:t>
      </w:r>
      <w:r w:rsidR="00B92920">
        <w:rPr>
          <w:color w:val="000000"/>
          <w:sz w:val="28"/>
          <w:szCs w:val="28"/>
          <w:lang w:eastAsia="ru-RU" w:bidi="ru-RU"/>
        </w:rPr>
        <w:t xml:space="preserve">а также </w:t>
      </w:r>
      <w:r w:rsidRPr="00B92920">
        <w:rPr>
          <w:color w:val="000000"/>
          <w:sz w:val="28"/>
          <w:szCs w:val="28"/>
          <w:lang w:eastAsia="ru-RU" w:bidi="ru-RU"/>
        </w:rPr>
        <w:t>предложения по их минимизации и устранению</w:t>
      </w:r>
      <w:r w:rsidR="00B92920">
        <w:rPr>
          <w:color w:val="000000"/>
          <w:sz w:val="28"/>
          <w:szCs w:val="28"/>
          <w:lang w:eastAsia="ru-RU" w:bidi="ru-RU"/>
        </w:rPr>
        <w:t>.</w:t>
      </w:r>
      <w:r w:rsidR="00B92920" w:rsidRPr="00B92920">
        <w:rPr>
          <w:color w:val="000000"/>
          <w:sz w:val="28"/>
          <w:szCs w:val="28"/>
          <w:lang w:eastAsia="ru-RU" w:bidi="ru-RU"/>
        </w:rPr>
        <w:t xml:space="preserve"> </w:t>
      </w:r>
      <w:r w:rsidR="00B92920">
        <w:rPr>
          <w:color w:val="000000"/>
          <w:sz w:val="28"/>
          <w:szCs w:val="28"/>
          <w:lang w:eastAsia="ru-RU" w:bidi="ru-RU"/>
        </w:rPr>
        <w:t>Все собранные сведения о</w:t>
      </w:r>
      <w:r w:rsidR="00B92920" w:rsidRPr="00B92920">
        <w:rPr>
          <w:color w:val="000000"/>
          <w:sz w:val="28"/>
          <w:szCs w:val="28"/>
          <w:lang w:eastAsia="ru-RU" w:bidi="ru-RU"/>
        </w:rPr>
        <w:t xml:space="preserve"> </w:t>
      </w:r>
      <w:r w:rsidR="00B92920">
        <w:rPr>
          <w:sz w:val="28"/>
          <w:szCs w:val="28"/>
        </w:rPr>
        <w:t>факторах и обстоятельствах, влияющих на совершение правонарушений, были тщательно</w:t>
      </w:r>
      <w:r w:rsidR="00B92920" w:rsidRPr="00B92920">
        <w:rPr>
          <w:color w:val="000000"/>
          <w:sz w:val="28"/>
          <w:szCs w:val="28"/>
          <w:lang w:eastAsia="ru-RU" w:bidi="ru-RU"/>
        </w:rPr>
        <w:t xml:space="preserve"> проанализированы</w:t>
      </w:r>
      <w:r w:rsidR="00B92920">
        <w:rPr>
          <w:color w:val="000000"/>
          <w:sz w:val="28"/>
          <w:szCs w:val="28"/>
          <w:lang w:eastAsia="ru-RU" w:bidi="ru-RU"/>
        </w:rPr>
        <w:t>.</w:t>
      </w:r>
    </w:p>
    <w:p w:rsidR="00985E8E" w:rsidRDefault="00BD2A2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92920">
        <w:rPr>
          <w:sz w:val="28"/>
          <w:szCs w:val="28"/>
        </w:rPr>
        <w:t>ри этом п</w:t>
      </w:r>
      <w:r>
        <w:rPr>
          <w:sz w:val="28"/>
          <w:szCs w:val="28"/>
        </w:rPr>
        <w:t>од комплаенс-</w:t>
      </w:r>
      <w:r w:rsidR="00985E8E">
        <w:rPr>
          <w:sz w:val="28"/>
          <w:szCs w:val="28"/>
        </w:rPr>
        <w:t xml:space="preserve">рисками понимались </w:t>
      </w:r>
      <w:r w:rsidR="00B92920" w:rsidRPr="00B92920">
        <w:rPr>
          <w:color w:val="000000"/>
          <w:sz w:val="28"/>
          <w:szCs w:val="28"/>
          <w:lang w:eastAsia="ru-RU" w:bidi="ru-RU"/>
        </w:rPr>
        <w:t>те потенциально возможные события, обстоятельства и факторы, поддающиеся определению и оценке, которые влияют на наступление такого неблагоприятного события как нарушение</w:t>
      </w:r>
      <w:r w:rsidR="00985E8E">
        <w:rPr>
          <w:sz w:val="28"/>
          <w:szCs w:val="28"/>
        </w:rPr>
        <w:t xml:space="preserve"> </w:t>
      </w:r>
      <w:r w:rsidR="00B92920">
        <w:rPr>
          <w:sz w:val="28"/>
          <w:szCs w:val="28"/>
        </w:rPr>
        <w:t>Комитетом</w:t>
      </w:r>
      <w:r w:rsidR="00985E8E">
        <w:rPr>
          <w:sz w:val="28"/>
          <w:szCs w:val="28"/>
        </w:rPr>
        <w:t xml:space="preserve"> антимонопольного законодательства.</w:t>
      </w:r>
    </w:p>
    <w:p w:rsidR="00C951AF" w:rsidRDefault="00C951AF" w:rsidP="00072868">
      <w:pPr>
        <w:pStyle w:val="20"/>
        <w:spacing w:line="240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В соответствии с </w:t>
      </w:r>
      <w:r w:rsidRPr="00B92920">
        <w:rPr>
          <w:color w:val="000000"/>
          <w:sz w:val="28"/>
          <w:szCs w:val="28"/>
          <w:lang w:eastAsia="ru-RU" w:bidi="ru-RU"/>
        </w:rPr>
        <w:t>Методически</w:t>
      </w:r>
      <w:r>
        <w:rPr>
          <w:color w:val="000000"/>
          <w:sz w:val="28"/>
          <w:szCs w:val="28"/>
          <w:lang w:eastAsia="ru-RU" w:bidi="ru-RU"/>
        </w:rPr>
        <w:t>ми</w:t>
      </w:r>
      <w:r w:rsidRPr="00B92920">
        <w:rPr>
          <w:color w:val="000000"/>
          <w:sz w:val="28"/>
          <w:szCs w:val="28"/>
          <w:lang w:eastAsia="ru-RU" w:bidi="ru-RU"/>
        </w:rPr>
        <w:t xml:space="preserve"> рекомендаци</w:t>
      </w:r>
      <w:r>
        <w:rPr>
          <w:color w:val="000000"/>
          <w:sz w:val="28"/>
          <w:szCs w:val="28"/>
          <w:lang w:eastAsia="ru-RU" w:bidi="ru-RU"/>
        </w:rPr>
        <w:t>ям</w:t>
      </w:r>
      <w:r w:rsidRPr="00B92920">
        <w:rPr>
          <w:color w:val="000000"/>
          <w:sz w:val="28"/>
          <w:szCs w:val="28"/>
          <w:lang w:eastAsia="ru-RU" w:bidi="ru-RU"/>
        </w:rPr>
        <w:t>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</w:t>
      </w:r>
      <w:r>
        <w:rPr>
          <w:color w:val="000000"/>
          <w:sz w:val="28"/>
          <w:szCs w:val="28"/>
          <w:lang w:eastAsia="ru-RU" w:bidi="ru-RU"/>
        </w:rPr>
        <w:t>ми</w:t>
      </w:r>
      <w:r w:rsidRPr="00B92920">
        <w:rPr>
          <w:color w:val="000000"/>
          <w:sz w:val="28"/>
          <w:szCs w:val="28"/>
          <w:lang w:eastAsia="ru-RU" w:bidi="ru-RU"/>
        </w:rPr>
        <w:t xml:space="preserve"> распоряжением Правительства Российской Федерации от 18</w:t>
      </w:r>
      <w:r>
        <w:rPr>
          <w:color w:val="000000"/>
          <w:sz w:val="28"/>
          <w:szCs w:val="28"/>
          <w:lang w:eastAsia="ru-RU" w:bidi="ru-RU"/>
        </w:rPr>
        <w:t xml:space="preserve"> октября </w:t>
      </w:r>
      <w:r w:rsidRPr="00B92920">
        <w:rPr>
          <w:color w:val="000000"/>
          <w:sz w:val="28"/>
          <w:szCs w:val="28"/>
          <w:lang w:eastAsia="ru-RU" w:bidi="ru-RU"/>
        </w:rPr>
        <w:t xml:space="preserve">2018 </w:t>
      </w:r>
      <w:r>
        <w:rPr>
          <w:color w:val="000000"/>
          <w:sz w:val="28"/>
          <w:szCs w:val="28"/>
          <w:lang w:eastAsia="ru-RU" w:bidi="ru-RU"/>
        </w:rPr>
        <w:t xml:space="preserve">г. </w:t>
      </w:r>
      <w:r w:rsidRPr="00B92920">
        <w:rPr>
          <w:color w:val="000000"/>
          <w:sz w:val="28"/>
          <w:szCs w:val="28"/>
          <w:lang w:eastAsia="ru-RU" w:bidi="ru-RU"/>
        </w:rPr>
        <w:t>№ 2258-р</w:t>
      </w:r>
      <w:r>
        <w:rPr>
          <w:color w:val="000000"/>
          <w:sz w:val="28"/>
          <w:szCs w:val="28"/>
          <w:lang w:eastAsia="ru-RU" w:bidi="ru-RU"/>
        </w:rPr>
        <w:t xml:space="preserve">, в </w:t>
      </w:r>
      <w:r w:rsidRPr="00B92920">
        <w:rPr>
          <w:color w:val="000000"/>
          <w:sz w:val="28"/>
          <w:szCs w:val="28"/>
          <w:lang w:eastAsia="ru-RU" w:bidi="ru-RU"/>
        </w:rPr>
        <w:t>качестве ключевых источников информации для выявления комплаенс-рисков</w:t>
      </w:r>
      <w:r>
        <w:rPr>
          <w:color w:val="000000"/>
          <w:sz w:val="28"/>
          <w:szCs w:val="28"/>
          <w:lang w:eastAsia="ru-RU" w:bidi="ru-RU"/>
        </w:rPr>
        <w:t xml:space="preserve"> Комитетом использ</w:t>
      </w:r>
      <w:r w:rsidR="000D30B6">
        <w:rPr>
          <w:color w:val="000000"/>
          <w:sz w:val="28"/>
          <w:szCs w:val="28"/>
          <w:lang w:eastAsia="ru-RU" w:bidi="ru-RU"/>
        </w:rPr>
        <w:t>овались</w:t>
      </w:r>
      <w:r>
        <w:rPr>
          <w:color w:val="000000"/>
          <w:sz w:val="28"/>
          <w:szCs w:val="28"/>
          <w:lang w:eastAsia="ru-RU" w:bidi="ru-RU"/>
        </w:rPr>
        <w:t>:</w:t>
      </w:r>
    </w:p>
    <w:p w:rsidR="00C951AF" w:rsidRPr="000C7D0C" w:rsidRDefault="00C951AF" w:rsidP="00C951AF">
      <w:pPr>
        <w:pStyle w:val="20"/>
        <w:shd w:val="clear" w:color="auto" w:fill="auto"/>
        <w:tabs>
          <w:tab w:val="left" w:pos="1117"/>
        </w:tabs>
        <w:spacing w:line="240" w:lineRule="auto"/>
        <w:ind w:firstLine="851"/>
        <w:jc w:val="both"/>
        <w:rPr>
          <w:sz w:val="28"/>
          <w:szCs w:val="28"/>
        </w:rPr>
      </w:pPr>
      <w:r w:rsidRPr="000C7D0C">
        <w:rPr>
          <w:sz w:val="28"/>
          <w:szCs w:val="28"/>
        </w:rPr>
        <w:t>а)</w:t>
      </w:r>
      <w:r w:rsidRPr="000C7D0C">
        <w:rPr>
          <w:sz w:val="28"/>
          <w:szCs w:val="28"/>
        </w:rPr>
        <w:tab/>
        <w:t xml:space="preserve">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Комитета</w:t>
      </w:r>
      <w:r w:rsidRPr="000C7D0C">
        <w:rPr>
          <w:sz w:val="28"/>
          <w:szCs w:val="28"/>
        </w:rPr>
        <w:t xml:space="preserve"> за предыдущие </w:t>
      </w:r>
      <w:r>
        <w:rPr>
          <w:sz w:val="28"/>
          <w:szCs w:val="28"/>
        </w:rPr>
        <w:t>три</w:t>
      </w:r>
      <w:r w:rsidRPr="000C7D0C">
        <w:rPr>
          <w:sz w:val="28"/>
          <w:szCs w:val="28"/>
        </w:rPr>
        <w:t xml:space="preserve"> года (наличие предостережений, предупреждений, штрафов, жалоб, возбужденных дел);</w:t>
      </w:r>
    </w:p>
    <w:p w:rsidR="00C951AF" w:rsidRPr="000C7D0C" w:rsidRDefault="00C951AF" w:rsidP="00C951AF">
      <w:pPr>
        <w:pStyle w:val="20"/>
        <w:shd w:val="clear" w:color="auto" w:fill="auto"/>
        <w:tabs>
          <w:tab w:val="left" w:pos="1166"/>
        </w:tabs>
        <w:spacing w:line="240" w:lineRule="auto"/>
        <w:ind w:firstLine="851"/>
        <w:jc w:val="both"/>
        <w:rPr>
          <w:sz w:val="28"/>
          <w:szCs w:val="28"/>
        </w:rPr>
      </w:pPr>
      <w:r w:rsidRPr="000C7D0C">
        <w:rPr>
          <w:sz w:val="28"/>
          <w:szCs w:val="28"/>
        </w:rPr>
        <w:t>б)</w:t>
      </w:r>
      <w:r w:rsidRPr="000C7D0C">
        <w:rPr>
          <w:sz w:val="28"/>
          <w:szCs w:val="28"/>
        </w:rPr>
        <w:tab/>
        <w:t xml:space="preserve">анализ нормативных правовых актов </w:t>
      </w:r>
      <w:r>
        <w:rPr>
          <w:sz w:val="28"/>
          <w:szCs w:val="28"/>
        </w:rPr>
        <w:t>и проектов нормативных правовых актов Комитета</w:t>
      </w:r>
      <w:r w:rsidRPr="000C7D0C">
        <w:rPr>
          <w:sz w:val="28"/>
          <w:szCs w:val="28"/>
        </w:rPr>
        <w:t>;</w:t>
      </w:r>
    </w:p>
    <w:p w:rsidR="00C951AF" w:rsidRPr="000C7D0C" w:rsidRDefault="00C951AF" w:rsidP="00C951AF">
      <w:pPr>
        <w:pStyle w:val="20"/>
        <w:shd w:val="clear" w:color="auto" w:fill="auto"/>
        <w:tabs>
          <w:tab w:val="left" w:pos="2702"/>
          <w:tab w:val="left" w:pos="447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C7D0C">
        <w:rPr>
          <w:sz w:val="28"/>
          <w:szCs w:val="28"/>
        </w:rPr>
        <w:t>) мониторинг</w:t>
      </w:r>
      <w:r>
        <w:rPr>
          <w:sz w:val="28"/>
          <w:szCs w:val="28"/>
        </w:rPr>
        <w:t xml:space="preserve"> </w:t>
      </w:r>
      <w:r w:rsidRPr="000C7D0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C7D0C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0C7D0C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0C7D0C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Комитетом </w:t>
      </w:r>
      <w:r w:rsidRPr="000C7D0C">
        <w:rPr>
          <w:sz w:val="28"/>
          <w:szCs w:val="28"/>
        </w:rPr>
        <w:lastRenderedPageBreak/>
        <w:t>антимонопольного законодательства;</w:t>
      </w:r>
    </w:p>
    <w:p w:rsidR="00C951AF" w:rsidRPr="000C7D0C" w:rsidRDefault="00C951AF" w:rsidP="00C951AF">
      <w:pPr>
        <w:pStyle w:val="20"/>
        <w:shd w:val="clear" w:color="auto" w:fill="auto"/>
        <w:tabs>
          <w:tab w:val="left" w:pos="1057"/>
        </w:tabs>
        <w:spacing w:line="240" w:lineRule="auto"/>
        <w:ind w:firstLine="851"/>
        <w:jc w:val="both"/>
        <w:rPr>
          <w:sz w:val="28"/>
          <w:szCs w:val="28"/>
        </w:rPr>
      </w:pPr>
      <w:r w:rsidRPr="000C7D0C">
        <w:rPr>
          <w:sz w:val="28"/>
          <w:szCs w:val="28"/>
        </w:rPr>
        <w:t>д)</w:t>
      </w:r>
      <w:r w:rsidRPr="000C7D0C">
        <w:rPr>
          <w:sz w:val="28"/>
          <w:szCs w:val="28"/>
        </w:rPr>
        <w:tab/>
        <w:t>систематическ</w:t>
      </w:r>
      <w:r>
        <w:rPr>
          <w:sz w:val="28"/>
          <w:szCs w:val="28"/>
        </w:rPr>
        <w:t>ая</w:t>
      </w:r>
      <w:r w:rsidRPr="000C7D0C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а</w:t>
      </w:r>
      <w:r w:rsidRPr="000C7D0C">
        <w:rPr>
          <w:sz w:val="28"/>
          <w:szCs w:val="28"/>
        </w:rPr>
        <w:t xml:space="preserve"> эффективности разработанных и реализуемых мероприятий по снижению комплаенс-рисков.</w:t>
      </w:r>
    </w:p>
    <w:p w:rsidR="00C951AF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нарушений антимонопольного законодательства (наличие предостережений, предупреждений, штрафов, жалоб, возбужденных дел) за период 2017-2019 годы в Комитете не выявлено.</w:t>
      </w:r>
    </w:p>
    <w:p w:rsidR="00B92920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Дела по вопросам применения и возможного нарушения Комитетом норм антимонопольного законодательства в судебных инстанциях за указанный период не рассматривались, жалобы не поступали.</w:t>
      </w:r>
    </w:p>
    <w:p w:rsidR="00985E8E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Анализ всех проектов нормативных правовых актов Комитета на предмет соответствия их антимонопольному, антикоррупционному и другим законодательствам осуществляется сотрудниками Прокуратуры Чукотского автономного округа.</w:t>
      </w:r>
    </w:p>
    <w:p w:rsidR="00436597" w:rsidRPr="00436597" w:rsidRDefault="00C951AF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436597">
        <w:rPr>
          <w:sz w:val="28"/>
          <w:szCs w:val="28"/>
        </w:rPr>
        <w:t xml:space="preserve">нализ действующих нормативных правовых актов </w:t>
      </w:r>
      <w:r>
        <w:rPr>
          <w:sz w:val="28"/>
          <w:szCs w:val="28"/>
        </w:rPr>
        <w:t>Комитета</w:t>
      </w:r>
      <w:r w:rsidR="00436597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</w:t>
      </w:r>
      <w:r w:rsidR="00436597">
        <w:rPr>
          <w:sz w:val="28"/>
          <w:szCs w:val="28"/>
        </w:rPr>
        <w:t xml:space="preserve"> их соответстви</w:t>
      </w:r>
      <w:r>
        <w:rPr>
          <w:sz w:val="28"/>
          <w:szCs w:val="28"/>
        </w:rPr>
        <w:t>е</w:t>
      </w:r>
      <w:r w:rsidR="00436597">
        <w:rPr>
          <w:sz w:val="28"/>
          <w:szCs w:val="28"/>
        </w:rPr>
        <w:t xml:space="preserve"> антимонопольному законодательству, в </w:t>
      </w:r>
      <w:proofErr w:type="gramStart"/>
      <w:r w:rsidR="00436597">
        <w:rPr>
          <w:sz w:val="28"/>
          <w:szCs w:val="28"/>
        </w:rPr>
        <w:t>связи</w:t>
      </w:r>
      <w:proofErr w:type="gramEnd"/>
      <w:r w:rsidR="00436597">
        <w:rPr>
          <w:sz w:val="28"/>
          <w:szCs w:val="28"/>
        </w:rPr>
        <w:t xml:space="preserve"> с чем необходимость внесения в них изменений</w:t>
      </w:r>
      <w:r w:rsidR="00032251" w:rsidRPr="00032251">
        <w:rPr>
          <w:sz w:val="28"/>
          <w:szCs w:val="28"/>
        </w:rPr>
        <w:t xml:space="preserve"> </w:t>
      </w:r>
      <w:r w:rsidR="00032251">
        <w:rPr>
          <w:sz w:val="28"/>
          <w:szCs w:val="28"/>
        </w:rPr>
        <w:t>отсутствует</w:t>
      </w:r>
      <w:r w:rsidR="00436597">
        <w:rPr>
          <w:sz w:val="28"/>
          <w:szCs w:val="28"/>
        </w:rPr>
        <w:t xml:space="preserve">. </w:t>
      </w:r>
    </w:p>
    <w:p w:rsidR="00985E8E" w:rsidRDefault="00985E8E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436597">
        <w:rPr>
          <w:sz w:val="28"/>
          <w:szCs w:val="28"/>
        </w:rPr>
        <w:t xml:space="preserve">мониторинга и </w:t>
      </w:r>
      <w:r>
        <w:rPr>
          <w:sz w:val="28"/>
          <w:szCs w:val="28"/>
        </w:rPr>
        <w:t>анализа</w:t>
      </w:r>
      <w:r w:rsidR="00436597">
        <w:rPr>
          <w:sz w:val="28"/>
          <w:szCs w:val="28"/>
        </w:rPr>
        <w:t xml:space="preserve"> фактов нарушения антимонопольного законодательства </w:t>
      </w:r>
      <w:r w:rsidR="0000765A">
        <w:rPr>
          <w:sz w:val="28"/>
          <w:szCs w:val="28"/>
        </w:rPr>
        <w:t xml:space="preserve">в деятельности сотрудников Комитета </w:t>
      </w:r>
      <w:r w:rsidR="00436597">
        <w:rPr>
          <w:sz w:val="28"/>
          <w:szCs w:val="28"/>
        </w:rPr>
        <w:t>не выявлено</w:t>
      </w:r>
      <w:r w:rsidR="0000765A">
        <w:rPr>
          <w:sz w:val="28"/>
          <w:szCs w:val="28"/>
        </w:rPr>
        <w:t>.</w:t>
      </w:r>
    </w:p>
    <w:p w:rsidR="0000765A" w:rsidRDefault="0000765A" w:rsidP="0000765A">
      <w:pPr>
        <w:pStyle w:val="20"/>
        <w:spacing w:after="12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</w:t>
      </w:r>
      <w:r w:rsidRPr="00701936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ного</w:t>
      </w:r>
      <w:r w:rsidRPr="00701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анализа и </w:t>
      </w:r>
      <w:r w:rsidRPr="00701936">
        <w:rPr>
          <w:sz w:val="28"/>
          <w:szCs w:val="28"/>
        </w:rPr>
        <w:t xml:space="preserve">оценки рисков нарушения антимонопольного законодательства </w:t>
      </w:r>
      <w:proofErr w:type="gramStart"/>
      <w:r>
        <w:rPr>
          <w:sz w:val="28"/>
          <w:szCs w:val="28"/>
        </w:rPr>
        <w:t>разработана и утверждена</w:t>
      </w:r>
      <w:proofErr w:type="gramEnd"/>
      <w:r>
        <w:rPr>
          <w:sz w:val="28"/>
          <w:szCs w:val="28"/>
        </w:rPr>
        <w:t xml:space="preserve"> Карта рисков нарушения антимонопольного законодательства</w:t>
      </w:r>
      <w:r w:rsidRPr="002B5402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на 2019-2020 годы. В Карте изложены риски с описанием и указанием причин возникновения.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0765A" w:rsidRPr="006B2210" w:rsidTr="00FC598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A" w:rsidRPr="006B2210" w:rsidRDefault="0000765A" w:rsidP="0095305F">
            <w:pPr>
              <w:jc w:val="center"/>
              <w:rPr>
                <w:rFonts w:ascii="Times New Roman" w:hAnsi="Times New Roman" w:cs="Times New Roman"/>
              </w:rPr>
            </w:pPr>
            <w:r w:rsidRPr="006B2210">
              <w:rPr>
                <w:rFonts w:ascii="Times New Roman" w:hAnsi="Times New Roman" w:cs="Times New Roman"/>
              </w:rPr>
              <w:t>Виды риска (описание)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65A" w:rsidRPr="006B2210" w:rsidRDefault="0000765A" w:rsidP="0095305F">
            <w:pPr>
              <w:jc w:val="center"/>
              <w:rPr>
                <w:rFonts w:ascii="Times New Roman" w:hAnsi="Times New Roman" w:cs="Times New Roman"/>
              </w:rPr>
            </w:pPr>
            <w:r w:rsidRPr="006B2210">
              <w:rPr>
                <w:rFonts w:ascii="Times New Roman" w:hAnsi="Times New Roman" w:cs="Times New Roman"/>
              </w:rPr>
              <w:t>Причины и условия возникновения рисков</w:t>
            </w:r>
          </w:p>
        </w:tc>
      </w:tr>
      <w:tr w:rsidR="0000765A" w:rsidRPr="006B2210" w:rsidTr="00FC598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5A" w:rsidRPr="006B2210" w:rsidRDefault="0000765A" w:rsidP="0000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6B2210">
              <w:rPr>
                <w:rFonts w:ascii="Times New Roman" w:hAnsi="Times New Roman" w:cs="Times New Roman"/>
              </w:rPr>
              <w:t>существление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 (несоблюдение сроков открытия дел, принятия решени</w:t>
            </w:r>
            <w:r>
              <w:rPr>
                <w:rFonts w:ascii="Times New Roman" w:hAnsi="Times New Roman" w:cs="Times New Roman"/>
              </w:rPr>
              <w:t>й</w:t>
            </w:r>
            <w:r w:rsidRPr="006B22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6B2210">
              <w:rPr>
                <w:rFonts w:ascii="Times New Roman" w:hAnsi="Times New Roman" w:cs="Times New Roman"/>
              </w:rPr>
              <w:t>рассмотрения материалов дел об установлении цен (тарифов)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B2210">
              <w:rPr>
                <w:rFonts w:ascii="Times New Roman" w:hAnsi="Times New Roman" w:cs="Times New Roman"/>
              </w:rPr>
              <w:t>необоснованный отказ в открытии дела об установлении цен (тарифов), платы за технологическое присоединение</w:t>
            </w:r>
            <w:r>
              <w:rPr>
                <w:rFonts w:ascii="Times New Roman" w:hAnsi="Times New Roman" w:cs="Times New Roman"/>
              </w:rPr>
              <w:t>;</w:t>
            </w:r>
            <w:r w:rsidRPr="006B2210">
              <w:rPr>
                <w:rFonts w:ascii="Times New Roman" w:hAnsi="Times New Roman" w:cs="Times New Roman"/>
              </w:rPr>
              <w:t xml:space="preserve"> необоснованные требования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6B2210">
              <w:rPr>
                <w:rFonts w:ascii="Times New Roman" w:hAnsi="Times New Roman" w:cs="Times New Roman"/>
              </w:rPr>
              <w:t>предоставлени</w:t>
            </w:r>
            <w:r>
              <w:rPr>
                <w:rFonts w:ascii="Times New Roman" w:hAnsi="Times New Roman" w:cs="Times New Roman"/>
              </w:rPr>
              <w:t>ю</w:t>
            </w:r>
            <w:r w:rsidRPr="006B2210">
              <w:rPr>
                <w:rFonts w:ascii="Times New Roman" w:hAnsi="Times New Roman" w:cs="Times New Roman"/>
              </w:rPr>
              <w:t xml:space="preserve"> документов, не предусмотренных законодательством </w:t>
            </w:r>
            <w:r>
              <w:rPr>
                <w:rFonts w:ascii="Times New Roman" w:hAnsi="Times New Roman" w:cs="Times New Roman"/>
              </w:rPr>
              <w:t>РФ</w:t>
            </w:r>
            <w:r w:rsidRPr="006B221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65A" w:rsidRDefault="0000765A" w:rsidP="00FC598A">
            <w:pPr>
              <w:pStyle w:val="a9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598A">
              <w:rPr>
                <w:rFonts w:ascii="Times New Roman" w:hAnsi="Times New Roman" w:cs="Times New Roman"/>
              </w:rPr>
              <w:t>высокая  нагрузка на сотрудников Комитета;</w:t>
            </w:r>
          </w:p>
          <w:p w:rsidR="00FC598A" w:rsidRPr="00FC598A" w:rsidRDefault="00FC598A" w:rsidP="00FC598A">
            <w:pPr>
              <w:pStyle w:val="a9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низкий</w:t>
            </w:r>
            <w:r w:rsidRPr="006B2210">
              <w:rPr>
                <w:rFonts w:ascii="Times New Roman" w:hAnsi="Times New Roman" w:cs="Times New Roman"/>
              </w:rPr>
              <w:t xml:space="preserve"> уровень внутреннего контроля</w:t>
            </w:r>
          </w:p>
          <w:p w:rsidR="0000765A" w:rsidRPr="006B2210" w:rsidRDefault="0000765A" w:rsidP="0095305F">
            <w:pPr>
              <w:ind w:left="175" w:hanging="142"/>
              <w:jc w:val="both"/>
              <w:rPr>
                <w:rFonts w:ascii="Times New Roman" w:hAnsi="Times New Roman" w:cs="Times New Roman"/>
              </w:rPr>
            </w:pPr>
          </w:p>
          <w:p w:rsidR="0000765A" w:rsidRPr="006B2210" w:rsidRDefault="0000765A" w:rsidP="0095305F">
            <w:pPr>
              <w:ind w:left="175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65A" w:rsidRPr="006B2210" w:rsidTr="00FC598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A" w:rsidRPr="005073B8" w:rsidRDefault="0000765A" w:rsidP="0095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проектов</w:t>
            </w:r>
            <w:r w:rsidRPr="005073B8">
              <w:rPr>
                <w:rFonts w:ascii="Times New Roman" w:hAnsi="Times New Roman" w:cs="Times New Roman"/>
              </w:rPr>
              <w:t xml:space="preserve"> нормативных правовых актов в сфере деятельности Комитета, которые могут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привести 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недопущению,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ограничению,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устранению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конкуренции (</w:t>
            </w:r>
            <w:r>
              <w:rPr>
                <w:rFonts w:ascii="Times New Roman" w:hAnsi="Times New Roman" w:cs="Times New Roman"/>
              </w:rPr>
              <w:t>с</w:t>
            </w:r>
            <w:r w:rsidRPr="005073B8">
              <w:rPr>
                <w:rFonts w:ascii="Times New Roman" w:hAnsi="Times New Roman" w:cs="Times New Roman"/>
              </w:rPr>
              <w:t>оздание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преимущественных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условий 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предпринимательской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и инвестиционной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деятельности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отдельных категорий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данных субъектов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результате принятия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нормативных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73B8">
              <w:rPr>
                <w:rFonts w:ascii="Times New Roman" w:hAnsi="Times New Roman" w:cs="Times New Roman"/>
              </w:rPr>
              <w:t>правовых актов)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A" w:rsidRPr="00FC598A" w:rsidRDefault="0000765A" w:rsidP="00FC598A">
            <w:pPr>
              <w:pStyle w:val="a9"/>
              <w:numPr>
                <w:ilvl w:val="0"/>
                <w:numId w:val="7"/>
              </w:numPr>
              <w:tabs>
                <w:tab w:val="left" w:pos="175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C598A">
              <w:rPr>
                <w:rFonts w:ascii="Times New Roman" w:hAnsi="Times New Roman" w:cs="Times New Roman"/>
              </w:rPr>
              <w:t>низкий уровень анализа проектов нормативных правовых актов</w:t>
            </w:r>
          </w:p>
          <w:p w:rsidR="0000765A" w:rsidRPr="006B2210" w:rsidRDefault="0000765A" w:rsidP="0095305F">
            <w:pPr>
              <w:autoSpaceDE w:val="0"/>
              <w:autoSpaceDN w:val="0"/>
              <w:adjustRightInd w:val="0"/>
              <w:ind w:left="175" w:hanging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765A" w:rsidRPr="00B93D92" w:rsidTr="00FC598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A" w:rsidRPr="00B93D92" w:rsidRDefault="0000765A" w:rsidP="009530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93D92">
              <w:rPr>
                <w:rFonts w:ascii="Times New Roman" w:hAnsi="Times New Roman" w:cs="Times New Roman"/>
              </w:rPr>
              <w:t>Возникновение конфликта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D92">
              <w:rPr>
                <w:rFonts w:ascii="Times New Roman" w:hAnsi="Times New Roman" w:cs="Times New Roman"/>
              </w:rPr>
              <w:t>интересов в деятельности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D92">
              <w:rPr>
                <w:rFonts w:ascii="Times New Roman" w:hAnsi="Times New Roman" w:cs="Times New Roman"/>
              </w:rPr>
              <w:t>государственных гражданских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3D92">
              <w:rPr>
                <w:rFonts w:ascii="Times New Roman" w:hAnsi="Times New Roman" w:cs="Times New Roman"/>
              </w:rPr>
              <w:t xml:space="preserve">служащих </w:t>
            </w:r>
            <w:r>
              <w:rPr>
                <w:rFonts w:ascii="Times New Roman" w:hAnsi="Times New Roman" w:cs="Times New Roman"/>
              </w:rPr>
              <w:t>Комитета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5A" w:rsidRDefault="0000765A" w:rsidP="00FC598A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>
              <w:t>нарушение основных требований к служебному поведению гражданских служащих;</w:t>
            </w:r>
          </w:p>
          <w:p w:rsidR="00FC598A" w:rsidRDefault="00FC598A" w:rsidP="00FC598A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>
              <w:lastRenderedPageBreak/>
              <w:t>несоблюдение прав и законных интересов граждан, организаций;</w:t>
            </w:r>
          </w:p>
          <w:p w:rsidR="00FC598A" w:rsidRDefault="00FC598A" w:rsidP="00FC598A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>
              <w:t>нарушение ограничений и запретов, связанных с гражданской службой, в том числе установленных законом о противодействии коррупции;</w:t>
            </w:r>
          </w:p>
          <w:p w:rsidR="00FC598A" w:rsidRDefault="00FC598A" w:rsidP="00FC598A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>
              <w:t>недостаточное информирование о деятельности Комитета;</w:t>
            </w:r>
          </w:p>
          <w:p w:rsidR="0000765A" w:rsidRPr="00B93D92" w:rsidRDefault="00FC598A" w:rsidP="00FC598A">
            <w:pPr>
              <w:pStyle w:val="ab"/>
              <w:numPr>
                <w:ilvl w:val="0"/>
                <w:numId w:val="6"/>
              </w:numPr>
              <w:tabs>
                <w:tab w:val="left" w:pos="176"/>
              </w:tabs>
              <w:spacing w:before="0" w:beforeAutospacing="0" w:after="0" w:afterAutospacing="0"/>
              <w:ind w:left="0" w:firstLine="0"/>
              <w:jc w:val="both"/>
            </w:pPr>
            <w:r>
              <w:t>непринятие мер по предотвращению конфликта интересов</w:t>
            </w:r>
            <w:r w:rsidR="0000765A">
              <w:t xml:space="preserve"> </w:t>
            </w:r>
          </w:p>
        </w:tc>
      </w:tr>
    </w:tbl>
    <w:p w:rsidR="0000765A" w:rsidRDefault="0000765A" w:rsidP="00072868">
      <w:pPr>
        <w:pStyle w:val="20"/>
        <w:spacing w:line="240" w:lineRule="auto"/>
        <w:ind w:firstLine="851"/>
        <w:jc w:val="both"/>
        <w:rPr>
          <w:sz w:val="28"/>
          <w:szCs w:val="28"/>
        </w:rPr>
      </w:pPr>
    </w:p>
    <w:p w:rsidR="00032251" w:rsidRDefault="00032251" w:rsidP="00072868">
      <w:pPr>
        <w:pStyle w:val="20"/>
        <w:spacing w:line="240" w:lineRule="auto"/>
        <w:ind w:firstLine="851"/>
        <w:jc w:val="both"/>
        <w:rPr>
          <w:b/>
          <w:sz w:val="28"/>
          <w:szCs w:val="28"/>
          <w:lang w:bidi="ru-RU"/>
        </w:rPr>
      </w:pPr>
    </w:p>
    <w:p w:rsidR="00985E8E" w:rsidRDefault="000E045A" w:rsidP="0010374F">
      <w:pPr>
        <w:pStyle w:val="20"/>
        <w:shd w:val="clear" w:color="auto" w:fill="auto"/>
        <w:spacing w:after="120" w:line="313" w:lineRule="exac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3. </w:t>
      </w:r>
      <w:r w:rsidR="00985E8E">
        <w:rPr>
          <w:b/>
          <w:sz w:val="28"/>
          <w:szCs w:val="28"/>
        </w:rPr>
        <w:t xml:space="preserve"> Мероприятия по снижению рисков нарушения антимонопольного законодательства</w:t>
      </w:r>
    </w:p>
    <w:p w:rsidR="008A6258" w:rsidRDefault="0000765A" w:rsidP="0000765A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1870" w:rsidRPr="00701936">
        <w:rPr>
          <w:sz w:val="28"/>
          <w:szCs w:val="28"/>
        </w:rPr>
        <w:t>о результатам проведения оценки рисков нарушения антимонопольного законодательства</w:t>
      </w:r>
      <w:r>
        <w:rPr>
          <w:sz w:val="28"/>
          <w:szCs w:val="28"/>
        </w:rPr>
        <w:t>, учитывая п</w:t>
      </w:r>
      <w:r w:rsidRPr="0000765A">
        <w:rPr>
          <w:sz w:val="28"/>
          <w:szCs w:val="28"/>
        </w:rPr>
        <w:t>ричины и условия возникновения рисков</w:t>
      </w:r>
      <w:r>
        <w:rPr>
          <w:sz w:val="28"/>
          <w:szCs w:val="28"/>
        </w:rPr>
        <w:t>, в Комитете</w:t>
      </w:r>
      <w:r w:rsidR="00F11870" w:rsidRPr="0000765A">
        <w:rPr>
          <w:sz w:val="28"/>
          <w:szCs w:val="28"/>
        </w:rPr>
        <w:t xml:space="preserve"> </w:t>
      </w:r>
      <w:r w:rsidR="00F11870">
        <w:rPr>
          <w:sz w:val="28"/>
          <w:szCs w:val="28"/>
        </w:rPr>
        <w:t>утвержден план мероприятий по снижению рисков нарушения антимонопольного законодательства в Комитете на 2019-2020 годы.</w:t>
      </w:r>
      <w:r>
        <w:rPr>
          <w:sz w:val="28"/>
          <w:szCs w:val="28"/>
        </w:rPr>
        <w:t xml:space="preserve"> </w:t>
      </w:r>
      <w:r w:rsidR="00F11870" w:rsidRPr="00F11870">
        <w:rPr>
          <w:sz w:val="28"/>
          <w:szCs w:val="28"/>
        </w:rPr>
        <w:t xml:space="preserve">В плане мероприятий по снижению рисков </w:t>
      </w:r>
      <w:r w:rsidR="00F11870">
        <w:rPr>
          <w:sz w:val="28"/>
          <w:szCs w:val="28"/>
        </w:rPr>
        <w:t>изложены м</w:t>
      </w:r>
      <w:r w:rsidR="00F11870" w:rsidRPr="00F11870">
        <w:rPr>
          <w:sz w:val="28"/>
          <w:szCs w:val="28"/>
        </w:rPr>
        <w:t>ероприятия по минимизации</w:t>
      </w:r>
      <w:r w:rsidR="00F11870">
        <w:rPr>
          <w:sz w:val="28"/>
          <w:szCs w:val="28"/>
        </w:rPr>
        <w:t xml:space="preserve"> </w:t>
      </w:r>
      <w:r w:rsidR="00F11870" w:rsidRPr="00F11870">
        <w:rPr>
          <w:sz w:val="28"/>
          <w:szCs w:val="28"/>
        </w:rPr>
        <w:t>и устранению рисков</w:t>
      </w:r>
      <w:r w:rsidR="00F11870">
        <w:rPr>
          <w:sz w:val="28"/>
          <w:szCs w:val="28"/>
        </w:rPr>
        <w:t>,</w:t>
      </w:r>
      <w:r w:rsidR="00F11870" w:rsidRPr="00F11870">
        <w:rPr>
          <w:sz w:val="28"/>
          <w:szCs w:val="28"/>
        </w:rPr>
        <w:t xml:space="preserve"> </w:t>
      </w:r>
      <w:r w:rsidR="00F11870">
        <w:rPr>
          <w:sz w:val="28"/>
          <w:szCs w:val="28"/>
        </w:rPr>
        <w:t>с</w:t>
      </w:r>
      <w:r w:rsidR="00F11870" w:rsidRPr="00F11870">
        <w:rPr>
          <w:sz w:val="28"/>
          <w:szCs w:val="28"/>
        </w:rPr>
        <w:t>рок</w:t>
      </w:r>
      <w:r w:rsidR="00F11870">
        <w:rPr>
          <w:sz w:val="28"/>
          <w:szCs w:val="28"/>
        </w:rPr>
        <w:t>и</w:t>
      </w:r>
      <w:r w:rsidR="00F11870" w:rsidRPr="00F11870">
        <w:rPr>
          <w:sz w:val="28"/>
          <w:szCs w:val="28"/>
        </w:rPr>
        <w:t xml:space="preserve"> исполнения мероприяти</w:t>
      </w:r>
      <w:r w:rsidR="00F11870">
        <w:rPr>
          <w:sz w:val="28"/>
          <w:szCs w:val="28"/>
        </w:rPr>
        <w:t>й</w:t>
      </w:r>
      <w:r w:rsidR="00F11870" w:rsidRPr="00F11870">
        <w:rPr>
          <w:sz w:val="28"/>
          <w:szCs w:val="28"/>
        </w:rPr>
        <w:t xml:space="preserve"> и исполнители</w:t>
      </w:r>
      <w:r w:rsidR="00F11870">
        <w:rPr>
          <w:sz w:val="28"/>
          <w:szCs w:val="28"/>
        </w:rPr>
        <w:t>.</w:t>
      </w:r>
    </w:p>
    <w:p w:rsidR="00F11870" w:rsidRPr="00F11870" w:rsidRDefault="0000765A" w:rsidP="0000765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планом</w:t>
      </w:r>
      <w:r w:rsidR="00F11870" w:rsidRPr="00F11870">
        <w:rPr>
          <w:rFonts w:ascii="Times New Roman" w:hAnsi="Times New Roman" w:cs="Times New Roman"/>
          <w:sz w:val="28"/>
          <w:szCs w:val="28"/>
        </w:rPr>
        <w:t xml:space="preserve">, </w:t>
      </w:r>
      <w:r w:rsidR="00F11870">
        <w:rPr>
          <w:rFonts w:ascii="Times New Roman" w:hAnsi="Times New Roman" w:cs="Times New Roman"/>
          <w:sz w:val="28"/>
          <w:szCs w:val="28"/>
        </w:rPr>
        <w:t>в целях</w:t>
      </w:r>
      <w:r w:rsidR="00F11870" w:rsidRPr="00F11870">
        <w:rPr>
          <w:rFonts w:ascii="Times New Roman" w:hAnsi="Times New Roman" w:cs="Times New Roman"/>
          <w:sz w:val="28"/>
          <w:szCs w:val="28"/>
        </w:rPr>
        <w:t xml:space="preserve"> минимизации и устранени</w:t>
      </w:r>
      <w:r w:rsidR="00F11870">
        <w:rPr>
          <w:rFonts w:ascii="Times New Roman" w:hAnsi="Times New Roman" w:cs="Times New Roman"/>
          <w:sz w:val="28"/>
          <w:szCs w:val="28"/>
        </w:rPr>
        <w:t>я</w:t>
      </w:r>
      <w:r w:rsidR="00F11870" w:rsidRPr="00F11870">
        <w:rPr>
          <w:rFonts w:ascii="Times New Roman" w:hAnsi="Times New Roman" w:cs="Times New Roman"/>
          <w:sz w:val="28"/>
          <w:szCs w:val="28"/>
        </w:rPr>
        <w:t xml:space="preserve"> риск</w:t>
      </w:r>
      <w:r w:rsidR="00F11870">
        <w:rPr>
          <w:rFonts w:ascii="Times New Roman" w:hAnsi="Times New Roman" w:cs="Times New Roman"/>
          <w:sz w:val="28"/>
          <w:szCs w:val="28"/>
        </w:rPr>
        <w:t>а</w:t>
      </w:r>
      <w:r w:rsidR="00F11870" w:rsidRPr="00F11870">
        <w:rPr>
          <w:rFonts w:ascii="Times New Roman" w:hAnsi="Times New Roman" w:cs="Times New Roman"/>
          <w:sz w:val="28"/>
          <w:szCs w:val="28"/>
        </w:rPr>
        <w:t xml:space="preserve"> </w:t>
      </w:r>
      <w:r w:rsidR="00F11870">
        <w:rPr>
          <w:rFonts w:ascii="Times New Roman" w:hAnsi="Times New Roman" w:cs="Times New Roman"/>
          <w:sz w:val="28"/>
          <w:szCs w:val="28"/>
        </w:rPr>
        <w:t>о</w:t>
      </w:r>
      <w:r w:rsidR="00F11870" w:rsidRPr="00F11870">
        <w:rPr>
          <w:rFonts w:ascii="Times New Roman" w:hAnsi="Times New Roman" w:cs="Times New Roman"/>
          <w:sz w:val="28"/>
          <w:szCs w:val="28"/>
        </w:rPr>
        <w:t>существлени</w:t>
      </w:r>
      <w:r w:rsidR="00F11870">
        <w:rPr>
          <w:rFonts w:ascii="Times New Roman" w:hAnsi="Times New Roman" w:cs="Times New Roman"/>
          <w:sz w:val="28"/>
          <w:szCs w:val="28"/>
        </w:rPr>
        <w:t>я</w:t>
      </w:r>
      <w:r w:rsidR="00F11870" w:rsidRPr="00F11870">
        <w:rPr>
          <w:rFonts w:ascii="Times New Roman" w:hAnsi="Times New Roman" w:cs="Times New Roman"/>
          <w:sz w:val="28"/>
          <w:szCs w:val="28"/>
        </w:rPr>
        <w:t xml:space="preserve"> действий (бездействия), которые приводят или могут привести к недопущению, ограничению, устранению конкуренции и нарушению антимонопольного законодательства</w:t>
      </w:r>
      <w:r w:rsidR="00F118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2019 году в Комитете ответственными сотрудниками </w:t>
      </w:r>
      <w:r w:rsidR="003005B2">
        <w:rPr>
          <w:rFonts w:ascii="Times New Roman" w:hAnsi="Times New Roman" w:cs="Times New Roman"/>
          <w:sz w:val="28"/>
          <w:szCs w:val="28"/>
        </w:rPr>
        <w:t xml:space="preserve">проводились мероприятия по </w:t>
      </w:r>
      <w:r w:rsidR="003005B2" w:rsidRPr="00F11870">
        <w:rPr>
          <w:rFonts w:ascii="Times New Roman" w:hAnsi="Times New Roman" w:cs="Times New Roman"/>
          <w:sz w:val="28"/>
          <w:szCs w:val="28"/>
        </w:rPr>
        <w:t>усил</w:t>
      </w:r>
      <w:r w:rsidR="003005B2">
        <w:rPr>
          <w:rFonts w:ascii="Times New Roman" w:hAnsi="Times New Roman" w:cs="Times New Roman"/>
          <w:sz w:val="28"/>
          <w:szCs w:val="28"/>
        </w:rPr>
        <w:t>ению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внутренн</w:t>
      </w:r>
      <w:r w:rsidR="003005B2">
        <w:rPr>
          <w:rFonts w:ascii="Times New Roman" w:hAnsi="Times New Roman" w:cs="Times New Roman"/>
          <w:sz w:val="28"/>
          <w:szCs w:val="28"/>
        </w:rPr>
        <w:t>его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3005B2">
        <w:rPr>
          <w:rFonts w:ascii="Times New Roman" w:hAnsi="Times New Roman" w:cs="Times New Roman"/>
          <w:sz w:val="28"/>
          <w:szCs w:val="28"/>
        </w:rPr>
        <w:t xml:space="preserve">я, принимались </w:t>
      </w:r>
      <w:r w:rsidR="003005B2" w:rsidRPr="00F11870">
        <w:rPr>
          <w:rFonts w:ascii="Times New Roman" w:hAnsi="Times New Roman" w:cs="Times New Roman"/>
          <w:sz w:val="28"/>
          <w:szCs w:val="28"/>
        </w:rPr>
        <w:t>мер</w:t>
      </w:r>
      <w:r w:rsidR="003005B2">
        <w:rPr>
          <w:rFonts w:ascii="Times New Roman" w:hAnsi="Times New Roman" w:cs="Times New Roman"/>
          <w:sz w:val="28"/>
          <w:szCs w:val="28"/>
        </w:rPr>
        <w:t>ы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 по укомплектованию вакантных должностей в Комитете квалифицированными сотрудниками</w:t>
      </w:r>
      <w:r w:rsidR="003005B2">
        <w:rPr>
          <w:rFonts w:ascii="Times New Roman" w:hAnsi="Times New Roman" w:cs="Times New Roman"/>
          <w:sz w:val="28"/>
          <w:szCs w:val="28"/>
        </w:rPr>
        <w:t xml:space="preserve">. В результате фактов </w:t>
      </w:r>
      <w:r w:rsidR="003005B2" w:rsidRPr="00F11870">
        <w:rPr>
          <w:rFonts w:ascii="Times New Roman" w:hAnsi="Times New Roman" w:cs="Times New Roman"/>
          <w:sz w:val="28"/>
          <w:szCs w:val="28"/>
        </w:rPr>
        <w:t xml:space="preserve">необоснованного </w:t>
      </w:r>
      <w:r w:rsidR="003005B2">
        <w:rPr>
          <w:rFonts w:ascii="Times New Roman" w:hAnsi="Times New Roman" w:cs="Times New Roman"/>
          <w:sz w:val="28"/>
          <w:szCs w:val="28"/>
        </w:rPr>
        <w:t>вос</w:t>
      </w:r>
      <w:r w:rsidR="003005B2" w:rsidRPr="00F11870">
        <w:rPr>
          <w:rFonts w:ascii="Times New Roman" w:hAnsi="Times New Roman" w:cs="Times New Roman"/>
          <w:sz w:val="28"/>
          <w:szCs w:val="28"/>
        </w:rPr>
        <w:t>препятств</w:t>
      </w:r>
      <w:r w:rsidR="003005B2">
        <w:rPr>
          <w:rFonts w:ascii="Times New Roman" w:hAnsi="Times New Roman" w:cs="Times New Roman"/>
          <w:sz w:val="28"/>
          <w:szCs w:val="28"/>
        </w:rPr>
        <w:t>ован</w:t>
      </w:r>
      <w:r w:rsidR="003005B2" w:rsidRPr="00F11870">
        <w:rPr>
          <w:rFonts w:ascii="Times New Roman" w:hAnsi="Times New Roman" w:cs="Times New Roman"/>
          <w:sz w:val="28"/>
          <w:szCs w:val="28"/>
        </w:rPr>
        <w:t>ия деятельности регулируемых организаций</w:t>
      </w:r>
      <w:r w:rsidR="003005B2">
        <w:rPr>
          <w:rFonts w:ascii="Times New Roman" w:hAnsi="Times New Roman" w:cs="Times New Roman"/>
          <w:sz w:val="28"/>
          <w:szCs w:val="28"/>
        </w:rPr>
        <w:t xml:space="preserve"> в 2019 году </w:t>
      </w:r>
      <w:r w:rsidR="00F11870">
        <w:rPr>
          <w:rFonts w:ascii="Times New Roman" w:hAnsi="Times New Roman" w:cs="Times New Roman"/>
          <w:sz w:val="28"/>
          <w:szCs w:val="28"/>
        </w:rPr>
        <w:t>н</w:t>
      </w:r>
      <w:r w:rsidR="00F11870" w:rsidRPr="00F11870">
        <w:rPr>
          <w:rFonts w:ascii="Times New Roman" w:hAnsi="Times New Roman" w:cs="Times New Roman"/>
          <w:sz w:val="28"/>
          <w:szCs w:val="28"/>
        </w:rPr>
        <w:t>е</w:t>
      </w:r>
      <w:r w:rsidR="00F11870">
        <w:rPr>
          <w:rFonts w:ascii="Times New Roman" w:hAnsi="Times New Roman" w:cs="Times New Roman"/>
          <w:sz w:val="28"/>
          <w:szCs w:val="28"/>
        </w:rPr>
        <w:t xml:space="preserve"> </w:t>
      </w:r>
      <w:r w:rsidR="00F11870" w:rsidRPr="00F11870">
        <w:rPr>
          <w:rFonts w:ascii="Times New Roman" w:hAnsi="Times New Roman" w:cs="Times New Roman"/>
          <w:sz w:val="28"/>
          <w:szCs w:val="28"/>
        </w:rPr>
        <w:t>допу</w:t>
      </w:r>
      <w:r>
        <w:rPr>
          <w:rFonts w:ascii="Times New Roman" w:hAnsi="Times New Roman" w:cs="Times New Roman"/>
          <w:sz w:val="28"/>
          <w:szCs w:val="28"/>
        </w:rPr>
        <w:t>щен</w:t>
      </w:r>
      <w:r w:rsidR="003005B2">
        <w:rPr>
          <w:rFonts w:ascii="Times New Roman" w:hAnsi="Times New Roman" w:cs="Times New Roman"/>
          <w:sz w:val="28"/>
          <w:szCs w:val="28"/>
        </w:rPr>
        <w:t>о.</w:t>
      </w:r>
    </w:p>
    <w:p w:rsidR="0075543A" w:rsidRDefault="0075543A" w:rsidP="003005B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недопущения разработки проектов нормативных правовых актов в сфере деятельности Комитета, которые могут привести к недопущению, ограничению, устранению конкуренции (создание преимущественных условий ведения предпринимательской и инвестиционной деятельности для отдельных категорий данных субъектов в результате принятия нормативных правовых актов), </w:t>
      </w:r>
      <w:r w:rsidR="00985066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постоянно</w:t>
      </w:r>
      <w:r w:rsidR="00985066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й основе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проводит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ся</w:t>
      </w:r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 проектов нормативных правовых актов Комитета на соответствие требованиям антимонопольного законодательства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proofErr w:type="gramEnd"/>
      <w:r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Дополнительно до должностных лиц Комитета, ответственных за разработку проектов нормативных правовых актов, доведены требования законодательства </w:t>
      </w:r>
      <w:r w:rsidR="003005B2">
        <w:rPr>
          <w:rFonts w:ascii="Times New Roman" w:hAnsi="Times New Roman" w:cs="Times New Roman"/>
          <w:b w:val="0"/>
          <w:color w:val="auto"/>
          <w:sz w:val="28"/>
          <w:szCs w:val="28"/>
        </w:rPr>
        <w:t>к п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>орядк</w:t>
      </w:r>
      <w:r w:rsidR="003005B2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3005B2" w:rsidRPr="003005B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подготовки прое</w:t>
      </w:r>
      <w:r w:rsidR="003005B2">
        <w:rPr>
          <w:rFonts w:ascii="Times New Roman" w:hAnsi="Times New Roman" w:cs="Times New Roman"/>
          <w:b w:val="0"/>
          <w:color w:val="auto"/>
          <w:sz w:val="28"/>
          <w:szCs w:val="28"/>
        </w:rPr>
        <w:t>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43A" w:rsidRDefault="0075543A" w:rsidP="007554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в</w:t>
      </w:r>
      <w:r w:rsidRPr="0075543A">
        <w:rPr>
          <w:rFonts w:ascii="Times New Roman" w:hAnsi="Times New Roman" w:cs="Times New Roman"/>
          <w:sz w:val="28"/>
          <w:szCs w:val="28"/>
        </w:rPr>
        <w:t>озникновени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543A">
        <w:rPr>
          <w:rFonts w:ascii="Times New Roman" w:hAnsi="Times New Roman" w:cs="Times New Roman"/>
          <w:sz w:val="28"/>
          <w:szCs w:val="28"/>
        </w:rPr>
        <w:t xml:space="preserve"> конфликта интересов в деятельности государственных гражданских служащих </w:t>
      </w:r>
      <w:r w:rsidR="003005B2">
        <w:rPr>
          <w:rFonts w:ascii="Times New Roman" w:hAnsi="Times New Roman" w:cs="Times New Roman"/>
          <w:sz w:val="28"/>
          <w:szCs w:val="28"/>
        </w:rPr>
        <w:t xml:space="preserve">сотрудником Комитета, ответственным за профилактику коррупционных правонарушений,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постоянной основе </w:t>
      </w:r>
      <w:r w:rsidR="003005B2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75543A">
        <w:rPr>
          <w:rFonts w:ascii="Times New Roman" w:hAnsi="Times New Roman" w:cs="Times New Roman"/>
          <w:sz w:val="28"/>
          <w:szCs w:val="28"/>
        </w:rPr>
        <w:t>информирование сотрудников о новеллах в законодательстве РФ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4A3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proofErr w:type="gramStart"/>
      <w:r w:rsidR="008E4A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4A3F">
        <w:rPr>
          <w:rFonts w:ascii="Times New Roman" w:hAnsi="Times New Roman" w:cs="Times New Roman"/>
          <w:sz w:val="28"/>
          <w:szCs w:val="28"/>
        </w:rPr>
        <w:t xml:space="preserve"> 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>строг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соблюд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>, установленны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регламентами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>четк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разгранич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ением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полномочи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и ответственност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сотрудников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. Также</w:t>
      </w:r>
      <w:r w:rsidR="00FC59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 xml:space="preserve"> руководством Комитета пересмотрено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>распредел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должностны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обязанност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сотрудников таким образом, чтобы исключить конфликт интересов и условия его возникновения, возможност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совершения правонарушений и преступлений</w:t>
      </w:r>
      <w:r w:rsidR="00FC59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осуществления иных противоправных действий </w:t>
      </w:r>
      <w:r w:rsidR="00FC598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служебной деятельности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 xml:space="preserve">. В </w:t>
      </w:r>
      <w:r w:rsidR="008E4A3F">
        <w:rPr>
          <w:rFonts w:ascii="Times New Roman" w:hAnsi="Times New Roman" w:cs="Times New Roman"/>
          <w:sz w:val="28"/>
          <w:szCs w:val="28"/>
        </w:rPr>
        <w:t>целях предотвращения в</w:t>
      </w:r>
      <w:r w:rsidR="008E4A3F" w:rsidRPr="0075543A">
        <w:rPr>
          <w:rFonts w:ascii="Times New Roman" w:hAnsi="Times New Roman" w:cs="Times New Roman"/>
          <w:sz w:val="28"/>
          <w:szCs w:val="28"/>
        </w:rPr>
        <w:t>озникновени</w:t>
      </w:r>
      <w:r w:rsidR="008E4A3F">
        <w:rPr>
          <w:rFonts w:ascii="Times New Roman" w:hAnsi="Times New Roman" w:cs="Times New Roman"/>
          <w:sz w:val="28"/>
          <w:szCs w:val="28"/>
        </w:rPr>
        <w:t>я</w:t>
      </w:r>
      <w:r w:rsidR="008E4A3F" w:rsidRPr="0075543A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="008E4A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по вопросам регулирования цен (тарифов)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 xml:space="preserve"> в Комитете</w:t>
      </w:r>
      <w:r w:rsidR="008E4A3F" w:rsidRPr="008E4A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A3F" w:rsidRPr="0075543A">
        <w:rPr>
          <w:rFonts w:ascii="Times New Roman" w:eastAsia="Times New Roman" w:hAnsi="Times New Roman" w:cs="Times New Roman"/>
          <w:sz w:val="28"/>
          <w:szCs w:val="28"/>
        </w:rPr>
        <w:t>прин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имаются</w:t>
      </w:r>
      <w:r w:rsidR="008E4A3F" w:rsidRPr="0075543A">
        <w:rPr>
          <w:rFonts w:ascii="Times New Roman" w:eastAsia="Times New Roman" w:hAnsi="Times New Roman" w:cs="Times New Roman"/>
          <w:sz w:val="28"/>
          <w:szCs w:val="28"/>
        </w:rPr>
        <w:t xml:space="preserve"> коллегиальн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о.</w:t>
      </w:r>
    </w:p>
    <w:p w:rsidR="00985066" w:rsidRDefault="00985066" w:rsidP="0075543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своевременной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5543A">
        <w:rPr>
          <w:rFonts w:ascii="Times New Roman" w:hAnsi="Times New Roman" w:cs="Times New Roman"/>
          <w:sz w:val="28"/>
          <w:szCs w:val="28"/>
        </w:rPr>
        <w:t>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543A">
        <w:rPr>
          <w:rFonts w:ascii="Times New Roman" w:hAnsi="Times New Roman" w:cs="Times New Roman"/>
          <w:sz w:val="28"/>
          <w:szCs w:val="28"/>
        </w:rPr>
        <w:t xml:space="preserve"> ответов на запросы (обращения) федеральных и региональных органов исполнительной власти, юридических лиц </w:t>
      </w:r>
      <w:r>
        <w:rPr>
          <w:rFonts w:ascii="Times New Roman" w:hAnsi="Times New Roman" w:cs="Times New Roman"/>
          <w:sz w:val="28"/>
          <w:szCs w:val="28"/>
        </w:rPr>
        <w:t>без</w:t>
      </w:r>
      <w:r w:rsidRPr="0075543A">
        <w:rPr>
          <w:rFonts w:ascii="Times New Roman" w:hAnsi="Times New Roman" w:cs="Times New Roman"/>
          <w:sz w:val="28"/>
          <w:szCs w:val="28"/>
        </w:rPr>
        <w:t xml:space="preserve"> нарушен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543A">
        <w:rPr>
          <w:rFonts w:ascii="Times New Roman" w:hAnsi="Times New Roman" w:cs="Times New Roman"/>
          <w:sz w:val="28"/>
          <w:szCs w:val="28"/>
        </w:rPr>
        <w:t xml:space="preserve"> срока, предусмотренного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>усилен внутренн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75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5543A">
        <w:rPr>
          <w:rFonts w:ascii="Times New Roman" w:eastAsia="Times New Roman" w:hAnsi="Times New Roman" w:cs="Times New Roman"/>
          <w:sz w:val="28"/>
          <w:szCs w:val="28"/>
        </w:rPr>
        <w:t>контрол</w:t>
      </w:r>
      <w:r w:rsidR="008E4A3F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документационным сопровождением деятельности Комитета со стороны руководства.</w:t>
      </w:r>
    </w:p>
    <w:p w:rsidR="002B5402" w:rsidRDefault="002B5402" w:rsidP="00990D78">
      <w:pPr>
        <w:pStyle w:val="30"/>
        <w:shd w:val="clear" w:color="auto" w:fill="auto"/>
        <w:tabs>
          <w:tab w:val="left" w:pos="1827"/>
        </w:tabs>
        <w:spacing w:after="120" w:line="324" w:lineRule="exact"/>
        <w:ind w:firstLine="0"/>
        <w:jc w:val="center"/>
        <w:rPr>
          <w:sz w:val="28"/>
          <w:szCs w:val="28"/>
        </w:rPr>
      </w:pPr>
    </w:p>
    <w:p w:rsidR="0095305F" w:rsidRPr="0095305F" w:rsidRDefault="000E045A" w:rsidP="0095305F">
      <w:pPr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</w:pPr>
      <w:r w:rsidRPr="0095305F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Д</w:t>
      </w:r>
      <w:r w:rsidR="0095305F" w:rsidRP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остижени</w:t>
      </w:r>
      <w:r w:rsid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>я</w:t>
      </w:r>
      <w:r w:rsidR="0095305F" w:rsidRPr="0095305F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ключевых показателей эффективности антимонопольного комплаенса</w:t>
      </w:r>
    </w:p>
    <w:p w:rsidR="00985E8E" w:rsidRDefault="00985E8E" w:rsidP="00990D78">
      <w:pPr>
        <w:pStyle w:val="30"/>
        <w:shd w:val="clear" w:color="auto" w:fill="auto"/>
        <w:tabs>
          <w:tab w:val="left" w:pos="1827"/>
        </w:tabs>
        <w:spacing w:after="120" w:line="324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E8E" w:rsidRPr="0095305F" w:rsidRDefault="00985E8E" w:rsidP="00985066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5305F">
        <w:rPr>
          <w:sz w:val="28"/>
          <w:szCs w:val="28"/>
        </w:rPr>
        <w:t xml:space="preserve">Оценка эффективности функционирования антимонопольного комплаенса и расчет ключевых показателей оценки эффективности антимонопольного комплаенса в </w:t>
      </w:r>
      <w:r w:rsidR="0095305F" w:rsidRPr="0095305F">
        <w:rPr>
          <w:sz w:val="28"/>
          <w:szCs w:val="28"/>
        </w:rPr>
        <w:t>Комитете</w:t>
      </w:r>
      <w:r w:rsidRPr="0095305F">
        <w:rPr>
          <w:sz w:val="28"/>
          <w:szCs w:val="28"/>
        </w:rPr>
        <w:t xml:space="preserve"> производится 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</w:t>
      </w:r>
      <w:r w:rsidR="002D7894" w:rsidRPr="0095305F">
        <w:rPr>
          <w:sz w:val="28"/>
          <w:szCs w:val="28"/>
        </w:rPr>
        <w:t>5</w:t>
      </w:r>
      <w:r w:rsidR="0095305F" w:rsidRPr="0095305F">
        <w:rPr>
          <w:sz w:val="28"/>
          <w:szCs w:val="28"/>
        </w:rPr>
        <w:t xml:space="preserve"> февраля </w:t>
      </w:r>
      <w:r w:rsidRPr="0095305F">
        <w:rPr>
          <w:sz w:val="28"/>
          <w:szCs w:val="28"/>
        </w:rPr>
        <w:t>2019</w:t>
      </w:r>
      <w:r w:rsidR="0095305F" w:rsidRPr="0095305F">
        <w:rPr>
          <w:sz w:val="28"/>
          <w:szCs w:val="28"/>
        </w:rPr>
        <w:t xml:space="preserve"> г. </w:t>
      </w:r>
      <w:r w:rsidRPr="0095305F">
        <w:rPr>
          <w:sz w:val="28"/>
          <w:szCs w:val="28"/>
        </w:rPr>
        <w:t>№ 133/19</w:t>
      </w:r>
      <w:r w:rsidR="00F31657">
        <w:rPr>
          <w:sz w:val="28"/>
          <w:szCs w:val="28"/>
        </w:rPr>
        <w:t xml:space="preserve"> (далее – Методика расчета ключевых показателей)</w:t>
      </w:r>
      <w:r w:rsidRPr="0095305F">
        <w:rPr>
          <w:sz w:val="28"/>
          <w:szCs w:val="28"/>
        </w:rPr>
        <w:t>.</w:t>
      </w:r>
    </w:p>
    <w:p w:rsidR="0095305F" w:rsidRDefault="0095305F" w:rsidP="00985066">
      <w:pPr>
        <w:pStyle w:val="20"/>
        <w:shd w:val="clear" w:color="auto" w:fill="auto"/>
        <w:spacing w:line="240" w:lineRule="auto"/>
        <w:ind w:firstLine="851"/>
        <w:jc w:val="both"/>
        <w:rPr>
          <w:color w:val="943634" w:themeColor="accent2" w:themeShade="BF"/>
          <w:sz w:val="28"/>
          <w:szCs w:val="28"/>
        </w:rPr>
      </w:pPr>
      <w:r w:rsidRPr="002F42E2">
        <w:rPr>
          <w:sz w:val="28"/>
          <w:szCs w:val="24"/>
        </w:rPr>
        <w:t>Ключевые</w:t>
      </w:r>
      <w:r>
        <w:rPr>
          <w:sz w:val="28"/>
          <w:szCs w:val="24"/>
        </w:rPr>
        <w:t xml:space="preserve"> </w:t>
      </w:r>
      <w:r w:rsidRPr="002F42E2">
        <w:rPr>
          <w:sz w:val="28"/>
          <w:szCs w:val="24"/>
        </w:rPr>
        <w:t>показатели эффективности функционирования антимонопольного законодательства</w:t>
      </w:r>
      <w:r w:rsidRPr="002F42E2">
        <w:rPr>
          <w:sz w:val="28"/>
          <w:szCs w:val="28"/>
        </w:rPr>
        <w:t xml:space="preserve"> в Комитете</w:t>
      </w:r>
      <w:r>
        <w:rPr>
          <w:sz w:val="28"/>
          <w:szCs w:val="28"/>
        </w:rPr>
        <w:t xml:space="preserve"> утверждены приказом Комитета от 30 декабря 2019 г. № 49-од.</w:t>
      </w:r>
    </w:p>
    <w:p w:rsidR="00985E8E" w:rsidRPr="0095305F" w:rsidRDefault="00985E8E" w:rsidP="00985066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95305F">
        <w:rPr>
          <w:sz w:val="28"/>
          <w:szCs w:val="28"/>
        </w:rPr>
        <w:t xml:space="preserve">Ключевыми показателями эффективности </w:t>
      </w:r>
      <w:proofErr w:type="gramStart"/>
      <w:r w:rsidRPr="0095305F">
        <w:rPr>
          <w:sz w:val="28"/>
          <w:szCs w:val="28"/>
        </w:rPr>
        <w:t>антимонопольного</w:t>
      </w:r>
      <w:proofErr w:type="gramEnd"/>
      <w:r w:rsidRPr="0095305F">
        <w:rPr>
          <w:sz w:val="28"/>
          <w:szCs w:val="28"/>
        </w:rPr>
        <w:t xml:space="preserve"> комплаенса </w:t>
      </w:r>
      <w:r w:rsidR="0095305F" w:rsidRPr="0095305F">
        <w:rPr>
          <w:sz w:val="28"/>
          <w:szCs w:val="28"/>
        </w:rPr>
        <w:t>в Комитет</w:t>
      </w:r>
      <w:r w:rsidRPr="0095305F">
        <w:rPr>
          <w:sz w:val="28"/>
          <w:szCs w:val="28"/>
        </w:rPr>
        <w:t xml:space="preserve"> являются:</w:t>
      </w:r>
    </w:p>
    <w:p w:rsidR="000668A2" w:rsidRPr="0095305F" w:rsidRDefault="0095305F" w:rsidP="00985066">
      <w:pPr>
        <w:pStyle w:val="20"/>
        <w:tabs>
          <w:tab w:val="left" w:pos="104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85E8E" w:rsidRPr="0095305F">
        <w:rPr>
          <w:sz w:val="28"/>
          <w:szCs w:val="28"/>
        </w:rPr>
        <w:t>)</w:t>
      </w:r>
      <w:r w:rsidR="00985E8E" w:rsidRPr="0095305F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к</w:t>
      </w:r>
      <w:r w:rsidRPr="0095305F">
        <w:rPr>
          <w:rFonts w:eastAsiaTheme="minorHAnsi"/>
          <w:sz w:val="28"/>
          <w:szCs w:val="28"/>
        </w:rPr>
        <w:t xml:space="preserve">оэффициент снижения количества нарушений </w:t>
      </w:r>
      <w:hyperlink r:id="rId9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Комитета;</w:t>
      </w:r>
    </w:p>
    <w:p w:rsidR="00985E8E" w:rsidRPr="0095305F" w:rsidRDefault="0095305F" w:rsidP="00985066">
      <w:pPr>
        <w:pStyle w:val="20"/>
        <w:tabs>
          <w:tab w:val="left" w:pos="1047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68A2" w:rsidRPr="0095305F">
        <w:rPr>
          <w:sz w:val="28"/>
          <w:szCs w:val="28"/>
        </w:rPr>
        <w:t>)</w:t>
      </w:r>
      <w:r w:rsidR="000668A2" w:rsidRPr="0095305F">
        <w:rPr>
          <w:sz w:val="28"/>
          <w:szCs w:val="28"/>
        </w:rPr>
        <w:tab/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 проектов нормативных правовых актов Комитета, в которых выявлены риски нарушения антимонопольного законодательства</w:t>
      </w:r>
      <w:r w:rsidR="00985E8E" w:rsidRPr="0095305F">
        <w:rPr>
          <w:sz w:val="28"/>
          <w:szCs w:val="28"/>
        </w:rPr>
        <w:t>;</w:t>
      </w:r>
    </w:p>
    <w:p w:rsidR="00985E8E" w:rsidRPr="0095305F" w:rsidRDefault="0095305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3</w:t>
      </w:r>
      <w:r w:rsidR="000668A2" w:rsidRPr="0095305F">
        <w:rPr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 нормативных правовых актов Комитета, в которых выявлены риски нарушения антимонопольного законодательства;</w:t>
      </w:r>
    </w:p>
    <w:p w:rsidR="0095305F" w:rsidRDefault="0095305F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</w:t>
      </w:r>
      <w:r w:rsidRPr="0095305F">
        <w:rPr>
          <w:rFonts w:eastAsiaTheme="minorHAnsi"/>
          <w:sz w:val="28"/>
          <w:szCs w:val="28"/>
        </w:rPr>
        <w:t xml:space="preserve">) </w:t>
      </w: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 xml:space="preserve">оля сотрудников Комитета, в отношении которых были проведены обучающие мероприятия по </w:t>
      </w:r>
      <w:hyperlink r:id="rId10" w:history="1">
        <w:r w:rsidRPr="0095305F">
          <w:rPr>
            <w:rFonts w:eastAsiaTheme="minorHAnsi"/>
            <w:sz w:val="28"/>
            <w:szCs w:val="28"/>
          </w:rPr>
          <w:t>антимонопольному законодательству</w:t>
        </w:r>
      </w:hyperlink>
      <w:r w:rsidRPr="0095305F">
        <w:rPr>
          <w:rFonts w:eastAsiaTheme="minorHAnsi"/>
          <w:sz w:val="28"/>
          <w:szCs w:val="28"/>
        </w:rPr>
        <w:t xml:space="preserve"> и антимонопольному комплаенсу</w:t>
      </w:r>
      <w:r>
        <w:rPr>
          <w:rFonts w:eastAsiaTheme="minorHAnsi"/>
          <w:sz w:val="28"/>
          <w:szCs w:val="28"/>
        </w:rPr>
        <w:t>.</w:t>
      </w:r>
    </w:p>
    <w:p w:rsidR="00F31657" w:rsidRDefault="00F31657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Методикой расчета ключевых показателей ответственными должностными лицами Комитета установлено, что за период 2018-2019 годов в </w:t>
      </w:r>
      <w:r w:rsidR="00B669E2">
        <w:rPr>
          <w:sz w:val="28"/>
          <w:szCs w:val="28"/>
        </w:rPr>
        <w:t xml:space="preserve">проектах </w:t>
      </w:r>
      <w:r w:rsidRPr="00B669E2">
        <w:rPr>
          <w:sz w:val="28"/>
          <w:szCs w:val="28"/>
        </w:rPr>
        <w:t xml:space="preserve">нормативных правовых актах Комитета рисков </w:t>
      </w:r>
      <w:r w:rsidRPr="00B669E2">
        <w:rPr>
          <w:sz w:val="28"/>
          <w:szCs w:val="28"/>
        </w:rPr>
        <w:lastRenderedPageBreak/>
        <w:t xml:space="preserve">нарушения антимонопольного законодательства не установлено. Таким образом, доля </w:t>
      </w:r>
      <w:r w:rsidR="00B669E2" w:rsidRPr="00B669E2">
        <w:rPr>
          <w:sz w:val="28"/>
          <w:szCs w:val="28"/>
        </w:rPr>
        <w:t xml:space="preserve">проектов </w:t>
      </w:r>
      <w:r w:rsidRPr="00B669E2">
        <w:rPr>
          <w:sz w:val="28"/>
          <w:szCs w:val="28"/>
        </w:rPr>
        <w:t xml:space="preserve">нормативных правовых актов Комитета, в которых </w:t>
      </w:r>
      <w:proofErr w:type="gramStart"/>
      <w:r w:rsidRPr="00B669E2">
        <w:rPr>
          <w:sz w:val="28"/>
          <w:szCs w:val="28"/>
        </w:rPr>
        <w:t>выявлены риски нарушения антимонопольного законодательства за 2019 год равна</w:t>
      </w:r>
      <w:proofErr w:type="gramEnd"/>
      <w:r w:rsidRPr="00B669E2">
        <w:rPr>
          <w:sz w:val="28"/>
          <w:szCs w:val="28"/>
        </w:rPr>
        <w:t xml:space="preserve"> «</w:t>
      </w:r>
      <w:r w:rsidR="00B669E2">
        <w:rPr>
          <w:sz w:val="28"/>
          <w:szCs w:val="28"/>
        </w:rPr>
        <w:t>0</w:t>
      </w:r>
      <w:r w:rsidRPr="00B669E2">
        <w:rPr>
          <w:sz w:val="28"/>
          <w:szCs w:val="28"/>
        </w:rPr>
        <w:t>».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sz w:val="28"/>
          <w:szCs w:val="28"/>
        </w:rPr>
      </w:pPr>
      <w:r w:rsidRPr="00B669E2">
        <w:rPr>
          <w:sz w:val="28"/>
          <w:szCs w:val="28"/>
        </w:rPr>
        <w:t>Аналогичная ситуация сложилась и с нормативными правовыми акт</w:t>
      </w:r>
      <w:r>
        <w:rPr>
          <w:sz w:val="28"/>
          <w:szCs w:val="28"/>
        </w:rPr>
        <w:t>ами</w:t>
      </w:r>
      <w:r w:rsidRPr="00B669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. </w:t>
      </w:r>
      <w:r w:rsidRPr="00B669E2">
        <w:rPr>
          <w:sz w:val="28"/>
          <w:szCs w:val="28"/>
        </w:rPr>
        <w:t>Доля</w:t>
      </w:r>
      <w:r>
        <w:rPr>
          <w:sz w:val="28"/>
          <w:szCs w:val="28"/>
        </w:rPr>
        <w:t xml:space="preserve"> </w:t>
      </w:r>
      <w:r w:rsidRPr="00B669E2">
        <w:rPr>
          <w:sz w:val="28"/>
          <w:szCs w:val="28"/>
        </w:rPr>
        <w:t xml:space="preserve">нормативных правовых актов Комитета, в которых </w:t>
      </w:r>
      <w:proofErr w:type="gramStart"/>
      <w:r w:rsidRPr="00B669E2">
        <w:rPr>
          <w:sz w:val="28"/>
          <w:szCs w:val="28"/>
        </w:rPr>
        <w:t xml:space="preserve">выявлены риски нарушения антимонопольного законодательства за 2019 год </w:t>
      </w:r>
      <w:r>
        <w:rPr>
          <w:sz w:val="28"/>
          <w:szCs w:val="28"/>
        </w:rPr>
        <w:t xml:space="preserve">также </w:t>
      </w:r>
      <w:r w:rsidRPr="00B669E2">
        <w:rPr>
          <w:sz w:val="28"/>
          <w:szCs w:val="28"/>
        </w:rPr>
        <w:t>равна</w:t>
      </w:r>
      <w:proofErr w:type="gramEnd"/>
      <w:r w:rsidRPr="00B669E2">
        <w:rPr>
          <w:sz w:val="28"/>
          <w:szCs w:val="28"/>
        </w:rPr>
        <w:t xml:space="preserve"> «</w:t>
      </w:r>
      <w:r>
        <w:rPr>
          <w:sz w:val="28"/>
          <w:szCs w:val="28"/>
        </w:rPr>
        <w:t>0</w:t>
      </w:r>
      <w:r w:rsidRPr="00B669E2">
        <w:rPr>
          <w:sz w:val="28"/>
          <w:szCs w:val="28"/>
        </w:rPr>
        <w:t>».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Pr="0095305F">
        <w:rPr>
          <w:rFonts w:eastAsiaTheme="minorHAnsi"/>
          <w:sz w:val="28"/>
          <w:szCs w:val="28"/>
        </w:rPr>
        <w:t>оля</w:t>
      </w:r>
      <w:r>
        <w:rPr>
          <w:rFonts w:eastAsiaTheme="minorHAnsi"/>
          <w:sz w:val="28"/>
          <w:szCs w:val="28"/>
        </w:rPr>
        <w:t xml:space="preserve"> </w:t>
      </w:r>
      <w:r w:rsidRPr="0095305F">
        <w:rPr>
          <w:rFonts w:eastAsiaTheme="minorHAnsi"/>
          <w:sz w:val="28"/>
          <w:szCs w:val="28"/>
        </w:rPr>
        <w:t xml:space="preserve">сотрудников Комитета, в отношении которых были проведены обучающие мероприятия по </w:t>
      </w:r>
      <w:hyperlink r:id="rId11" w:history="1">
        <w:r w:rsidRPr="0095305F">
          <w:rPr>
            <w:rFonts w:eastAsiaTheme="minorHAnsi"/>
            <w:sz w:val="28"/>
            <w:szCs w:val="28"/>
          </w:rPr>
          <w:t>антимонопольному законодательству</w:t>
        </w:r>
      </w:hyperlink>
      <w:r w:rsidRPr="0095305F">
        <w:rPr>
          <w:rFonts w:eastAsiaTheme="minorHAnsi"/>
          <w:sz w:val="28"/>
          <w:szCs w:val="28"/>
        </w:rPr>
        <w:t xml:space="preserve"> и антимонопольному комплаенсу</w:t>
      </w:r>
      <w:r>
        <w:rPr>
          <w:rFonts w:eastAsiaTheme="minorHAnsi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 xml:space="preserve">Методикой расчета ключевых показателей, равна «1» (со всеми государственными гражданскими служащими Комитета проведены </w:t>
      </w:r>
      <w:r w:rsidRPr="0095305F">
        <w:rPr>
          <w:rFonts w:eastAsiaTheme="minorHAnsi"/>
          <w:sz w:val="28"/>
          <w:szCs w:val="28"/>
        </w:rPr>
        <w:t>обучающие мероприятия</w:t>
      </w:r>
      <w:r>
        <w:rPr>
          <w:rFonts w:eastAsiaTheme="minorHAnsi"/>
          <w:sz w:val="28"/>
          <w:szCs w:val="28"/>
        </w:rPr>
        <w:t>).</w:t>
      </w:r>
    </w:p>
    <w:p w:rsidR="00B669E2" w:rsidRDefault="00B669E2" w:rsidP="00985066">
      <w:pPr>
        <w:pStyle w:val="20"/>
        <w:shd w:val="clear" w:color="auto" w:fill="auto"/>
        <w:tabs>
          <w:tab w:val="left" w:pos="1058"/>
        </w:tabs>
        <w:spacing w:line="240" w:lineRule="auto"/>
        <w:ind w:firstLine="851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связи с отсутствием </w:t>
      </w:r>
      <w:r w:rsidRPr="0095305F">
        <w:rPr>
          <w:rFonts w:eastAsiaTheme="minorHAnsi"/>
          <w:sz w:val="28"/>
          <w:szCs w:val="28"/>
        </w:rPr>
        <w:t xml:space="preserve">нарушений </w:t>
      </w:r>
      <w:hyperlink r:id="rId12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</w:t>
      </w:r>
      <w:r>
        <w:rPr>
          <w:rFonts w:eastAsiaTheme="minorHAnsi"/>
          <w:sz w:val="28"/>
          <w:szCs w:val="28"/>
        </w:rPr>
        <w:t xml:space="preserve"> в 2018-2019 годах к</w:t>
      </w:r>
      <w:r w:rsidRPr="0095305F">
        <w:rPr>
          <w:rFonts w:eastAsiaTheme="minorHAnsi"/>
          <w:sz w:val="28"/>
          <w:szCs w:val="28"/>
        </w:rPr>
        <w:t xml:space="preserve">оэффициент снижения количества нарушений </w:t>
      </w:r>
      <w:hyperlink r:id="rId13" w:history="1">
        <w:r w:rsidRPr="0095305F">
          <w:rPr>
            <w:rFonts w:eastAsiaTheme="minorHAnsi"/>
            <w:sz w:val="28"/>
            <w:szCs w:val="28"/>
          </w:rPr>
          <w:t>антимонопольного законодательства</w:t>
        </w:r>
      </w:hyperlink>
      <w:r w:rsidRPr="0095305F">
        <w:rPr>
          <w:rFonts w:eastAsiaTheme="minorHAnsi"/>
          <w:sz w:val="28"/>
          <w:szCs w:val="28"/>
        </w:rPr>
        <w:t xml:space="preserve"> со стороны Комитета</w:t>
      </w:r>
      <w:r>
        <w:rPr>
          <w:rFonts w:eastAsiaTheme="minorHAnsi"/>
          <w:sz w:val="28"/>
          <w:szCs w:val="28"/>
        </w:rPr>
        <w:t xml:space="preserve"> равен «0».</w:t>
      </w:r>
    </w:p>
    <w:p w:rsidR="00464621" w:rsidRPr="0089079E" w:rsidRDefault="00464621" w:rsidP="008F62E7">
      <w:pPr>
        <w:pStyle w:val="20"/>
        <w:spacing w:after="120" w:line="313" w:lineRule="exact"/>
        <w:ind w:firstLine="709"/>
        <w:rPr>
          <w:b/>
          <w:color w:val="943634" w:themeColor="accent2" w:themeShade="BF"/>
          <w:sz w:val="28"/>
          <w:szCs w:val="28"/>
        </w:rPr>
      </w:pPr>
    </w:p>
    <w:p w:rsidR="00A05017" w:rsidRPr="0040634C" w:rsidRDefault="000E045A" w:rsidP="0040634C">
      <w:pPr>
        <w:pStyle w:val="20"/>
        <w:spacing w:after="120" w:line="313" w:lineRule="exact"/>
        <w:rPr>
          <w:b/>
          <w:sz w:val="28"/>
          <w:szCs w:val="28"/>
        </w:rPr>
      </w:pPr>
      <w:r w:rsidRPr="0040634C">
        <w:rPr>
          <w:b/>
          <w:sz w:val="28"/>
          <w:szCs w:val="28"/>
        </w:rPr>
        <w:t>5</w:t>
      </w:r>
      <w:r w:rsidR="008F62E7" w:rsidRPr="0040634C">
        <w:rPr>
          <w:b/>
          <w:sz w:val="28"/>
          <w:szCs w:val="28"/>
        </w:rPr>
        <w:t xml:space="preserve">. </w:t>
      </w:r>
      <w:r w:rsidR="0040634C" w:rsidRPr="0040634C">
        <w:rPr>
          <w:b/>
          <w:sz w:val="28"/>
          <w:szCs w:val="28"/>
        </w:rPr>
        <w:t>И</w:t>
      </w:r>
      <w:r w:rsidR="008F62E7" w:rsidRPr="0040634C">
        <w:rPr>
          <w:b/>
          <w:sz w:val="28"/>
          <w:szCs w:val="28"/>
        </w:rPr>
        <w:t>тог</w:t>
      </w:r>
      <w:r w:rsidR="002E29C4" w:rsidRPr="0040634C">
        <w:rPr>
          <w:b/>
          <w:sz w:val="28"/>
          <w:szCs w:val="28"/>
        </w:rPr>
        <w:t>и</w:t>
      </w:r>
      <w:r w:rsidR="008F62E7" w:rsidRPr="0040634C">
        <w:rPr>
          <w:b/>
          <w:sz w:val="28"/>
          <w:szCs w:val="28"/>
        </w:rPr>
        <w:t xml:space="preserve"> деятельности </w:t>
      </w:r>
      <w:r w:rsidR="0040634C" w:rsidRPr="0040634C">
        <w:rPr>
          <w:b/>
          <w:sz w:val="28"/>
          <w:szCs w:val="28"/>
        </w:rPr>
        <w:t>Комитета</w:t>
      </w:r>
      <w:r w:rsidR="008F62E7" w:rsidRPr="0040634C">
        <w:rPr>
          <w:b/>
          <w:sz w:val="28"/>
          <w:szCs w:val="28"/>
        </w:rPr>
        <w:t xml:space="preserve"> </w:t>
      </w:r>
      <w:r w:rsidR="0040634C" w:rsidRPr="0040634C">
        <w:rPr>
          <w:rFonts w:eastAsiaTheme="minorHAnsi"/>
          <w:b/>
          <w:sz w:val="28"/>
          <w:szCs w:val="28"/>
        </w:rPr>
        <w:t>государственного регулирования цен и тарифов Чукотского автономного округа</w:t>
      </w:r>
      <w:r w:rsidR="0040634C" w:rsidRPr="0040634C">
        <w:rPr>
          <w:b/>
          <w:sz w:val="28"/>
          <w:szCs w:val="28"/>
        </w:rPr>
        <w:t xml:space="preserve"> </w:t>
      </w:r>
      <w:r w:rsidR="008F62E7" w:rsidRPr="0040634C">
        <w:rPr>
          <w:b/>
          <w:sz w:val="28"/>
          <w:szCs w:val="28"/>
        </w:rPr>
        <w:t xml:space="preserve">по </w:t>
      </w:r>
      <w:proofErr w:type="gramStart"/>
      <w:r w:rsidR="008F62E7" w:rsidRPr="0040634C">
        <w:rPr>
          <w:b/>
          <w:sz w:val="28"/>
          <w:szCs w:val="28"/>
        </w:rPr>
        <w:t>антимонопольному</w:t>
      </w:r>
      <w:proofErr w:type="gramEnd"/>
      <w:r w:rsidR="008F62E7" w:rsidRPr="0040634C">
        <w:rPr>
          <w:b/>
          <w:sz w:val="28"/>
          <w:szCs w:val="28"/>
        </w:rPr>
        <w:t xml:space="preserve"> комплаенсу</w:t>
      </w:r>
    </w:p>
    <w:p w:rsidR="000E045A" w:rsidRPr="0040634C" w:rsidRDefault="00FC598A" w:rsidP="0040634C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0634C" w:rsidRPr="0040634C">
        <w:rPr>
          <w:sz w:val="28"/>
          <w:szCs w:val="28"/>
        </w:rPr>
        <w:t xml:space="preserve"> 2019 году Комитетом</w:t>
      </w:r>
      <w:r w:rsidR="000E045A" w:rsidRPr="0040634C">
        <w:rPr>
          <w:sz w:val="28"/>
          <w:szCs w:val="28"/>
        </w:rPr>
        <w:t xml:space="preserve"> </w:t>
      </w:r>
      <w:r w:rsidR="0040634C" w:rsidRPr="0040634C">
        <w:rPr>
          <w:sz w:val="28"/>
          <w:szCs w:val="28"/>
        </w:rPr>
        <w:t>проведены все необходимые мероприятия по</w:t>
      </w:r>
      <w:r w:rsidR="000E045A" w:rsidRPr="0040634C">
        <w:rPr>
          <w:sz w:val="28"/>
          <w:szCs w:val="28"/>
        </w:rPr>
        <w:t xml:space="preserve"> внедрени</w:t>
      </w:r>
      <w:r w:rsidR="0040634C" w:rsidRPr="0040634C">
        <w:rPr>
          <w:sz w:val="28"/>
          <w:szCs w:val="28"/>
        </w:rPr>
        <w:t>ю</w:t>
      </w:r>
      <w:r w:rsidR="000E045A" w:rsidRPr="0040634C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(антимонопольного комплаенса)</w:t>
      </w:r>
      <w:r w:rsidR="0040634C" w:rsidRPr="0040634C">
        <w:rPr>
          <w:sz w:val="28"/>
          <w:szCs w:val="28"/>
        </w:rPr>
        <w:t xml:space="preserve"> в Комитете</w:t>
      </w:r>
      <w:r w:rsidR="000E045A" w:rsidRPr="0040634C">
        <w:rPr>
          <w:sz w:val="28"/>
          <w:szCs w:val="28"/>
        </w:rPr>
        <w:t>.</w:t>
      </w:r>
    </w:p>
    <w:p w:rsidR="00A57CC5" w:rsidRPr="0040634C" w:rsidRDefault="000E045A" w:rsidP="0040634C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proofErr w:type="gramStart"/>
      <w:r w:rsidRPr="0040634C">
        <w:rPr>
          <w:sz w:val="28"/>
          <w:szCs w:val="28"/>
        </w:rPr>
        <w:t>В частности, р</w:t>
      </w:r>
      <w:r w:rsidR="00985E8E" w:rsidRPr="0040634C">
        <w:rPr>
          <w:sz w:val="28"/>
          <w:szCs w:val="28"/>
        </w:rPr>
        <w:t xml:space="preserve">азработаны </w:t>
      </w:r>
      <w:r w:rsidR="0040634C" w:rsidRPr="0040634C">
        <w:rPr>
          <w:sz w:val="28"/>
          <w:szCs w:val="28"/>
        </w:rPr>
        <w:t>и утверждены необходимые документы</w:t>
      </w:r>
      <w:r w:rsidR="00985E8E" w:rsidRPr="0040634C">
        <w:rPr>
          <w:sz w:val="28"/>
          <w:szCs w:val="28"/>
        </w:rPr>
        <w:t xml:space="preserve"> в сфере антимонопольного комплаенса, создан </w:t>
      </w:r>
      <w:r w:rsidR="0040634C" w:rsidRPr="0040634C">
        <w:rPr>
          <w:sz w:val="28"/>
          <w:szCs w:val="28"/>
        </w:rPr>
        <w:t>под</w:t>
      </w:r>
      <w:r w:rsidR="00985E8E" w:rsidRPr="0040634C">
        <w:rPr>
          <w:sz w:val="28"/>
          <w:szCs w:val="28"/>
        </w:rPr>
        <w:t>раздел «Антимонопольный комплаенс»</w:t>
      </w:r>
      <w:r w:rsidRPr="0040634C">
        <w:rPr>
          <w:sz w:val="28"/>
          <w:szCs w:val="28"/>
        </w:rPr>
        <w:t xml:space="preserve"> </w:t>
      </w:r>
      <w:r w:rsidR="0040634C" w:rsidRPr="0040634C">
        <w:rPr>
          <w:sz w:val="28"/>
          <w:szCs w:val="28"/>
        </w:rPr>
        <w:t>на странице Комитета на официальном сайте Чукотского автономного округа в информационно-телекоммуникационной сети «Интернет»</w:t>
      </w:r>
      <w:r w:rsidRPr="0040634C">
        <w:rPr>
          <w:sz w:val="28"/>
          <w:szCs w:val="28"/>
        </w:rPr>
        <w:t>, у</w:t>
      </w:r>
      <w:r w:rsidR="00985E8E" w:rsidRPr="0040634C">
        <w:rPr>
          <w:sz w:val="28"/>
          <w:szCs w:val="28"/>
        </w:rPr>
        <w:t xml:space="preserve">регулировано взаимодействие структурных подразделений </w:t>
      </w:r>
      <w:r w:rsidR="0040634C" w:rsidRPr="0040634C">
        <w:rPr>
          <w:sz w:val="28"/>
          <w:szCs w:val="28"/>
        </w:rPr>
        <w:t xml:space="preserve">Комитета </w:t>
      </w:r>
      <w:r w:rsidR="00985E8E" w:rsidRPr="0040634C">
        <w:rPr>
          <w:sz w:val="28"/>
          <w:szCs w:val="28"/>
        </w:rPr>
        <w:t>по вопросам нарушения антимонопольного законодательства и антимонопольного комплаенса</w:t>
      </w:r>
      <w:r w:rsidR="0040634C" w:rsidRPr="0040634C">
        <w:rPr>
          <w:sz w:val="28"/>
          <w:szCs w:val="28"/>
        </w:rPr>
        <w:t>, проведены обучающие мероприятия</w:t>
      </w:r>
      <w:r w:rsidRPr="0040634C">
        <w:rPr>
          <w:sz w:val="28"/>
          <w:szCs w:val="28"/>
        </w:rPr>
        <w:t>.</w:t>
      </w:r>
      <w:proofErr w:type="gramEnd"/>
    </w:p>
    <w:p w:rsidR="00A57CC5" w:rsidRPr="0040634C" w:rsidRDefault="00A57CC5" w:rsidP="0040634C">
      <w:pPr>
        <w:pStyle w:val="20"/>
        <w:spacing w:line="240" w:lineRule="auto"/>
        <w:ind w:firstLine="851"/>
        <w:jc w:val="both"/>
        <w:rPr>
          <w:sz w:val="28"/>
          <w:szCs w:val="28"/>
        </w:rPr>
      </w:pPr>
      <w:r w:rsidRPr="0040634C">
        <w:rPr>
          <w:sz w:val="28"/>
          <w:szCs w:val="28"/>
        </w:rPr>
        <w:t xml:space="preserve">По результатам проделанной работы нарушений антимонопольного законодательства в деятельности </w:t>
      </w:r>
      <w:r w:rsidR="0040634C" w:rsidRPr="0040634C">
        <w:rPr>
          <w:sz w:val="28"/>
          <w:szCs w:val="28"/>
        </w:rPr>
        <w:t>Комитета</w:t>
      </w:r>
      <w:r w:rsidRPr="0040634C">
        <w:rPr>
          <w:sz w:val="28"/>
          <w:szCs w:val="28"/>
        </w:rPr>
        <w:t xml:space="preserve"> </w:t>
      </w:r>
      <w:r w:rsidR="00990D78" w:rsidRPr="0040634C">
        <w:rPr>
          <w:sz w:val="28"/>
          <w:szCs w:val="28"/>
        </w:rPr>
        <w:t xml:space="preserve">за 2019 год </w:t>
      </w:r>
      <w:r w:rsidRPr="0040634C">
        <w:rPr>
          <w:sz w:val="28"/>
          <w:szCs w:val="28"/>
        </w:rPr>
        <w:t>не выявлено.</w:t>
      </w:r>
    </w:p>
    <w:p w:rsidR="009D3EE7" w:rsidRDefault="00A57CC5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40634C">
        <w:rPr>
          <w:sz w:val="28"/>
          <w:szCs w:val="28"/>
        </w:rPr>
        <w:t>Доклад представлен на рассмотрение и утверждение Общественн</w:t>
      </w:r>
      <w:r w:rsidR="00924216" w:rsidRPr="0040634C">
        <w:rPr>
          <w:sz w:val="28"/>
          <w:szCs w:val="28"/>
        </w:rPr>
        <w:t>ому</w:t>
      </w:r>
      <w:r w:rsidRPr="0040634C">
        <w:rPr>
          <w:sz w:val="28"/>
          <w:szCs w:val="28"/>
        </w:rPr>
        <w:t xml:space="preserve"> совет</w:t>
      </w:r>
      <w:r w:rsidR="00924216" w:rsidRPr="0040634C">
        <w:rPr>
          <w:sz w:val="28"/>
          <w:szCs w:val="28"/>
        </w:rPr>
        <w:t>у</w:t>
      </w:r>
      <w:r w:rsidRPr="0040634C">
        <w:rPr>
          <w:sz w:val="28"/>
          <w:szCs w:val="28"/>
        </w:rPr>
        <w:t xml:space="preserve"> при </w:t>
      </w:r>
      <w:r w:rsidR="0040634C" w:rsidRPr="0040634C">
        <w:rPr>
          <w:sz w:val="28"/>
          <w:szCs w:val="28"/>
        </w:rPr>
        <w:t>Комитете</w:t>
      </w:r>
      <w:r w:rsidRPr="0040634C">
        <w:rPr>
          <w:sz w:val="28"/>
          <w:szCs w:val="28"/>
        </w:rPr>
        <w:t>.</w:t>
      </w:r>
    </w:p>
    <w:p w:rsidR="0010661F" w:rsidRDefault="0010661F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10661F" w:rsidRDefault="0010661F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10661F" w:rsidRDefault="0010661F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10661F" w:rsidRDefault="0010661F" w:rsidP="0040634C">
      <w:pPr>
        <w:pStyle w:val="2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</w:p>
    <w:p w:rsidR="0010661F" w:rsidRPr="0040634C" w:rsidRDefault="0010661F" w:rsidP="0010661F">
      <w:pPr>
        <w:pStyle w:val="20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 Комитета                                                            Е.В. Ковальская</w:t>
      </w:r>
    </w:p>
    <w:p w:rsidR="000E045A" w:rsidRDefault="000E045A" w:rsidP="00A57CC5">
      <w:pPr>
        <w:pStyle w:val="20"/>
        <w:shd w:val="clear" w:color="auto" w:fill="auto"/>
        <w:spacing w:after="120" w:line="320" w:lineRule="exact"/>
        <w:ind w:firstLine="709"/>
        <w:jc w:val="both"/>
        <w:rPr>
          <w:sz w:val="28"/>
          <w:szCs w:val="28"/>
        </w:rPr>
      </w:pPr>
    </w:p>
    <w:sectPr w:rsidR="000E045A" w:rsidSect="001A2B9A">
      <w:headerReference w:type="default" r:id="rId14"/>
      <w:pgSz w:w="11906" w:h="16838"/>
      <w:pgMar w:top="567" w:right="709" w:bottom="1134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F1" w:rsidRDefault="006D53F1" w:rsidP="00204B54">
      <w:r>
        <w:separator/>
      </w:r>
    </w:p>
  </w:endnote>
  <w:endnote w:type="continuationSeparator" w:id="0">
    <w:p w:rsidR="006D53F1" w:rsidRDefault="006D53F1" w:rsidP="00204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F1" w:rsidRDefault="006D53F1" w:rsidP="00204B54">
      <w:r>
        <w:separator/>
      </w:r>
    </w:p>
  </w:footnote>
  <w:footnote w:type="continuationSeparator" w:id="0">
    <w:p w:rsidR="006D53F1" w:rsidRDefault="006D53F1" w:rsidP="00204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992480"/>
      <w:docPartObj>
        <w:docPartGallery w:val="Page Numbers (Top of Page)"/>
        <w:docPartUnique/>
      </w:docPartObj>
    </w:sdtPr>
    <w:sdtEndPr/>
    <w:sdtContent>
      <w:p w:rsidR="00B669E2" w:rsidRDefault="00B669E2">
        <w:pPr>
          <w:pStyle w:val="a5"/>
          <w:jc w:val="center"/>
        </w:pPr>
      </w:p>
      <w:p w:rsidR="00B669E2" w:rsidRDefault="00B669E2">
        <w:pPr>
          <w:pStyle w:val="a5"/>
          <w:jc w:val="center"/>
        </w:pPr>
      </w:p>
      <w:p w:rsidR="00B669E2" w:rsidRDefault="00B669E2">
        <w:pPr>
          <w:pStyle w:val="a5"/>
          <w:jc w:val="center"/>
        </w:pPr>
        <w:r w:rsidRPr="00985066">
          <w:rPr>
            <w:rFonts w:ascii="Times New Roman" w:hAnsi="Times New Roman" w:cs="Times New Roman"/>
          </w:rPr>
          <w:fldChar w:fldCharType="begin"/>
        </w:r>
        <w:r w:rsidRPr="00985066">
          <w:rPr>
            <w:rFonts w:ascii="Times New Roman" w:hAnsi="Times New Roman" w:cs="Times New Roman"/>
          </w:rPr>
          <w:instrText>PAGE   \* MERGEFORMAT</w:instrText>
        </w:r>
        <w:r w:rsidRPr="00985066">
          <w:rPr>
            <w:rFonts w:ascii="Times New Roman" w:hAnsi="Times New Roman" w:cs="Times New Roman"/>
          </w:rPr>
          <w:fldChar w:fldCharType="separate"/>
        </w:r>
        <w:r w:rsidR="00F97E49">
          <w:rPr>
            <w:rFonts w:ascii="Times New Roman" w:hAnsi="Times New Roman" w:cs="Times New Roman"/>
            <w:noProof/>
          </w:rPr>
          <w:t>6</w:t>
        </w:r>
        <w:r w:rsidRPr="00985066">
          <w:rPr>
            <w:rFonts w:ascii="Times New Roman" w:hAnsi="Times New Roman" w:cs="Times New Roman"/>
          </w:rPr>
          <w:fldChar w:fldCharType="end"/>
        </w:r>
      </w:p>
    </w:sdtContent>
  </w:sdt>
  <w:p w:rsidR="00B669E2" w:rsidRDefault="00B669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9C0"/>
    <w:multiLevelType w:val="hybridMultilevel"/>
    <w:tmpl w:val="4C28EC50"/>
    <w:lvl w:ilvl="0" w:tplc="6734BD8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72F1B05"/>
    <w:multiLevelType w:val="multilevel"/>
    <w:tmpl w:val="93525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3D012C"/>
    <w:multiLevelType w:val="hybridMultilevel"/>
    <w:tmpl w:val="4478118C"/>
    <w:lvl w:ilvl="0" w:tplc="6734BD8C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5B341545"/>
    <w:multiLevelType w:val="hybridMultilevel"/>
    <w:tmpl w:val="E51E30D4"/>
    <w:lvl w:ilvl="0" w:tplc="224640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D5004"/>
    <w:multiLevelType w:val="multilevel"/>
    <w:tmpl w:val="D632B4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D847FC3"/>
    <w:multiLevelType w:val="hybridMultilevel"/>
    <w:tmpl w:val="58E0F4F0"/>
    <w:lvl w:ilvl="0" w:tplc="2FCC1E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03C7D"/>
    <w:multiLevelType w:val="multilevel"/>
    <w:tmpl w:val="A580C3F4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09"/>
    <w:rsid w:val="0000765A"/>
    <w:rsid w:val="00024F1E"/>
    <w:rsid w:val="00032251"/>
    <w:rsid w:val="000668A2"/>
    <w:rsid w:val="00072868"/>
    <w:rsid w:val="000A14C6"/>
    <w:rsid w:val="000D30B6"/>
    <w:rsid w:val="000E045A"/>
    <w:rsid w:val="0010374F"/>
    <w:rsid w:val="00104AE4"/>
    <w:rsid w:val="0010661F"/>
    <w:rsid w:val="001A2B9A"/>
    <w:rsid w:val="001F4B16"/>
    <w:rsid w:val="00204B54"/>
    <w:rsid w:val="00252CDF"/>
    <w:rsid w:val="002A5731"/>
    <w:rsid w:val="002A6742"/>
    <w:rsid w:val="002B5402"/>
    <w:rsid w:val="002C6C76"/>
    <w:rsid w:val="002D7894"/>
    <w:rsid w:val="002E29C4"/>
    <w:rsid w:val="003005B2"/>
    <w:rsid w:val="0030636F"/>
    <w:rsid w:val="003119E4"/>
    <w:rsid w:val="003E29C3"/>
    <w:rsid w:val="003E6484"/>
    <w:rsid w:val="003F4D09"/>
    <w:rsid w:val="0040634C"/>
    <w:rsid w:val="004309F0"/>
    <w:rsid w:val="00436597"/>
    <w:rsid w:val="00437DF8"/>
    <w:rsid w:val="00464621"/>
    <w:rsid w:val="0046554E"/>
    <w:rsid w:val="0047104D"/>
    <w:rsid w:val="004E1B14"/>
    <w:rsid w:val="0050219B"/>
    <w:rsid w:val="005434B6"/>
    <w:rsid w:val="00573706"/>
    <w:rsid w:val="005740BB"/>
    <w:rsid w:val="005859B4"/>
    <w:rsid w:val="00593F15"/>
    <w:rsid w:val="005D1C8A"/>
    <w:rsid w:val="005E4378"/>
    <w:rsid w:val="00603130"/>
    <w:rsid w:val="006051EE"/>
    <w:rsid w:val="00641303"/>
    <w:rsid w:val="00653687"/>
    <w:rsid w:val="00666D58"/>
    <w:rsid w:val="00671DD8"/>
    <w:rsid w:val="00697F2D"/>
    <w:rsid w:val="006A201A"/>
    <w:rsid w:val="006C0410"/>
    <w:rsid w:val="006D156A"/>
    <w:rsid w:val="006D50AC"/>
    <w:rsid w:val="006D53F1"/>
    <w:rsid w:val="006E2F6B"/>
    <w:rsid w:val="006F5D2D"/>
    <w:rsid w:val="00701936"/>
    <w:rsid w:val="0071793F"/>
    <w:rsid w:val="007377B9"/>
    <w:rsid w:val="00740C9A"/>
    <w:rsid w:val="0075543A"/>
    <w:rsid w:val="00773C50"/>
    <w:rsid w:val="00780D6F"/>
    <w:rsid w:val="00782266"/>
    <w:rsid w:val="007B22C9"/>
    <w:rsid w:val="007D3642"/>
    <w:rsid w:val="007F51C5"/>
    <w:rsid w:val="008176AC"/>
    <w:rsid w:val="00830FBD"/>
    <w:rsid w:val="00860D22"/>
    <w:rsid w:val="0089079E"/>
    <w:rsid w:val="008A38C3"/>
    <w:rsid w:val="008A6258"/>
    <w:rsid w:val="008D24E8"/>
    <w:rsid w:val="008E4A3F"/>
    <w:rsid w:val="008F10DE"/>
    <w:rsid w:val="008F62E7"/>
    <w:rsid w:val="00924216"/>
    <w:rsid w:val="009304DB"/>
    <w:rsid w:val="0095305F"/>
    <w:rsid w:val="00966C2F"/>
    <w:rsid w:val="00970321"/>
    <w:rsid w:val="009713E8"/>
    <w:rsid w:val="00985066"/>
    <w:rsid w:val="00985E8E"/>
    <w:rsid w:val="0098737C"/>
    <w:rsid w:val="00990D78"/>
    <w:rsid w:val="009D3EE7"/>
    <w:rsid w:val="009D50A3"/>
    <w:rsid w:val="009E1F75"/>
    <w:rsid w:val="00A05017"/>
    <w:rsid w:val="00A13C5D"/>
    <w:rsid w:val="00A14479"/>
    <w:rsid w:val="00A411F1"/>
    <w:rsid w:val="00A51A71"/>
    <w:rsid w:val="00A57CC5"/>
    <w:rsid w:val="00A60829"/>
    <w:rsid w:val="00A63DD4"/>
    <w:rsid w:val="00A6575E"/>
    <w:rsid w:val="00AA5E42"/>
    <w:rsid w:val="00AC297E"/>
    <w:rsid w:val="00B34103"/>
    <w:rsid w:val="00B36CDE"/>
    <w:rsid w:val="00B669E2"/>
    <w:rsid w:val="00B75EA6"/>
    <w:rsid w:val="00B92920"/>
    <w:rsid w:val="00B92FD0"/>
    <w:rsid w:val="00B93B5C"/>
    <w:rsid w:val="00BB334B"/>
    <w:rsid w:val="00BB607B"/>
    <w:rsid w:val="00BC75DD"/>
    <w:rsid w:val="00BD2A2F"/>
    <w:rsid w:val="00BE6155"/>
    <w:rsid w:val="00BF0442"/>
    <w:rsid w:val="00C2784F"/>
    <w:rsid w:val="00C951AF"/>
    <w:rsid w:val="00CA2DAA"/>
    <w:rsid w:val="00CF223C"/>
    <w:rsid w:val="00D17928"/>
    <w:rsid w:val="00D23B09"/>
    <w:rsid w:val="00D24F2F"/>
    <w:rsid w:val="00D27DCE"/>
    <w:rsid w:val="00E10CD9"/>
    <w:rsid w:val="00E37568"/>
    <w:rsid w:val="00EA060F"/>
    <w:rsid w:val="00EA5225"/>
    <w:rsid w:val="00EB2B9C"/>
    <w:rsid w:val="00EB60E4"/>
    <w:rsid w:val="00EC44B7"/>
    <w:rsid w:val="00EC5206"/>
    <w:rsid w:val="00ED3070"/>
    <w:rsid w:val="00F11870"/>
    <w:rsid w:val="00F31657"/>
    <w:rsid w:val="00F575C5"/>
    <w:rsid w:val="00F97E49"/>
    <w:rsid w:val="00FB0976"/>
    <w:rsid w:val="00FC598A"/>
    <w:rsid w:val="00FD149A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005B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0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4B54"/>
  </w:style>
  <w:style w:type="paragraph" w:styleId="a7">
    <w:name w:val="footer"/>
    <w:basedOn w:val="a"/>
    <w:link w:val="a8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04B54"/>
  </w:style>
  <w:style w:type="paragraph" w:styleId="a9">
    <w:name w:val="List Paragraph"/>
    <w:basedOn w:val="a"/>
    <w:uiPriority w:val="34"/>
    <w:qFormat/>
    <w:rsid w:val="00EA52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40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74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985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E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85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E8E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85E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8E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1">
    <w:name w:val="Основной текст (4) + Не курсив"/>
    <w:basedOn w:val="4"/>
    <w:rsid w:val="00985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92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2B5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3005B2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E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3005B2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03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Верхний колонтитул Знак"/>
    <w:basedOn w:val="a0"/>
    <w:link w:val="a5"/>
    <w:uiPriority w:val="99"/>
    <w:rsid w:val="00204B54"/>
  </w:style>
  <w:style w:type="paragraph" w:styleId="a7">
    <w:name w:val="footer"/>
    <w:basedOn w:val="a"/>
    <w:link w:val="a8"/>
    <w:uiPriority w:val="99"/>
    <w:unhideWhenUsed/>
    <w:rsid w:val="00204B54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Нижний колонтитул Знак"/>
    <w:basedOn w:val="a0"/>
    <w:link w:val="a7"/>
    <w:uiPriority w:val="99"/>
    <w:rsid w:val="00204B54"/>
  </w:style>
  <w:style w:type="paragraph" w:styleId="a9">
    <w:name w:val="List Paragraph"/>
    <w:basedOn w:val="a"/>
    <w:uiPriority w:val="34"/>
    <w:qFormat/>
    <w:rsid w:val="00EA522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740C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a">
    <w:name w:val="Table Grid"/>
    <w:basedOn w:val="a1"/>
    <w:uiPriority w:val="59"/>
    <w:rsid w:val="0074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985E8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85E8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985E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5E8E"/>
    <w:pPr>
      <w:shd w:val="clear" w:color="auto" w:fill="FFFFFF"/>
      <w:spacing w:line="0" w:lineRule="atLeast"/>
      <w:ind w:hanging="17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985E8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85E8E"/>
    <w:pPr>
      <w:shd w:val="clear" w:color="auto" w:fill="FFFFFF"/>
      <w:spacing w:line="320" w:lineRule="exact"/>
      <w:ind w:firstLine="740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character" w:customStyle="1" w:styleId="41">
    <w:name w:val="Основной текст (4) + Не курсив"/>
    <w:basedOn w:val="4"/>
    <w:rsid w:val="00985E8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929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b">
    <w:name w:val="Normal (Web)"/>
    <w:basedOn w:val="a"/>
    <w:uiPriority w:val="99"/>
    <w:unhideWhenUsed/>
    <w:rsid w:val="002B540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9"/>
    <w:rsid w:val="003005B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48517.2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48517.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8517.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48517.2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8517.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F8FEB-94DA-4F97-98A1-FE81D9B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 Юрьевна</dc:creator>
  <cp:lastModifiedBy>Людмила Андреева</cp:lastModifiedBy>
  <cp:revision>15</cp:revision>
  <cp:lastPrinted>2020-02-12T14:09:00Z</cp:lastPrinted>
  <dcterms:created xsi:type="dcterms:W3CDTF">2020-03-01T22:01:00Z</dcterms:created>
  <dcterms:modified xsi:type="dcterms:W3CDTF">2020-03-05T23:56:00Z</dcterms:modified>
</cp:coreProperties>
</file>