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24" w:rsidRDefault="006F1A24" w:rsidP="006F1A24">
      <w:pPr>
        <w:pStyle w:val="ConsNormal"/>
        <w:widowControl/>
        <w:ind w:left="1049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2F42E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F42E2">
        <w:rPr>
          <w:rFonts w:ascii="Times New Roman" w:hAnsi="Times New Roman" w:cs="Times New Roman"/>
          <w:sz w:val="24"/>
          <w:szCs w:val="24"/>
        </w:rPr>
        <w:t xml:space="preserve"> Комитета государственного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цен и тарифов</w:t>
      </w:r>
    </w:p>
    <w:p w:rsidR="006F1A24" w:rsidRPr="002F42E2" w:rsidRDefault="006F1A24" w:rsidP="006F1A24">
      <w:pPr>
        <w:pStyle w:val="ConsNormal"/>
        <w:widowControl/>
        <w:ind w:left="1049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42E2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6F1A24" w:rsidRPr="002F42E2" w:rsidRDefault="006F1A24" w:rsidP="006F1A24">
      <w:pPr>
        <w:ind w:left="10490"/>
        <w:jc w:val="center"/>
        <w:rPr>
          <w:sz w:val="24"/>
          <w:szCs w:val="24"/>
        </w:rPr>
      </w:pPr>
      <w:r w:rsidRPr="002F42E2">
        <w:rPr>
          <w:sz w:val="24"/>
          <w:szCs w:val="24"/>
        </w:rPr>
        <w:t>от 30 декабря 2019 г. № 49-од</w:t>
      </w:r>
    </w:p>
    <w:p w:rsidR="006F1A24" w:rsidRPr="002F42E2" w:rsidRDefault="006F1A24" w:rsidP="006F1A24">
      <w:pPr>
        <w:ind w:left="10490"/>
        <w:jc w:val="both"/>
      </w:pPr>
    </w:p>
    <w:p w:rsidR="006F1A24" w:rsidRPr="002F42E2" w:rsidRDefault="006F1A24" w:rsidP="006F1A24">
      <w:pPr>
        <w:jc w:val="center"/>
        <w:rPr>
          <w:sz w:val="28"/>
          <w:szCs w:val="28"/>
        </w:rPr>
      </w:pPr>
    </w:p>
    <w:p w:rsidR="006F1A24" w:rsidRPr="002F42E2" w:rsidRDefault="006F1A24" w:rsidP="006F1A24">
      <w:pPr>
        <w:jc w:val="center"/>
        <w:rPr>
          <w:sz w:val="28"/>
          <w:szCs w:val="28"/>
        </w:rPr>
      </w:pPr>
      <w:bookmarkStart w:id="0" w:name="_GoBack"/>
      <w:r w:rsidRPr="002F42E2">
        <w:rPr>
          <w:sz w:val="28"/>
          <w:szCs w:val="28"/>
        </w:rPr>
        <w:t>Ключевые показатели эффективности</w:t>
      </w:r>
    </w:p>
    <w:p w:rsidR="006F1A24" w:rsidRDefault="006F1A24" w:rsidP="006F1A24">
      <w:pPr>
        <w:jc w:val="center"/>
        <w:rPr>
          <w:sz w:val="28"/>
          <w:szCs w:val="28"/>
        </w:rPr>
      </w:pP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6F1A24" w:rsidRPr="002F42E2" w:rsidRDefault="006F1A24" w:rsidP="006F1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F42E2">
        <w:rPr>
          <w:sz w:val="28"/>
          <w:szCs w:val="28"/>
        </w:rPr>
        <w:t>Комитете государственного регулирования цен и тарифов Чукотского автономного округа</w:t>
      </w:r>
      <w:bookmarkEnd w:id="0"/>
    </w:p>
    <w:p w:rsidR="006F1A24" w:rsidRPr="002F42E2" w:rsidRDefault="006F1A24" w:rsidP="006F1A24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1"/>
        <w:gridCol w:w="3427"/>
        <w:gridCol w:w="4717"/>
        <w:gridCol w:w="2194"/>
        <w:gridCol w:w="4881"/>
      </w:tblGrid>
      <w:tr w:rsidR="006F1A24" w:rsidRPr="002F42E2" w:rsidTr="0089682E">
        <w:trPr>
          <w:tblHeader/>
        </w:trPr>
        <w:tc>
          <w:tcPr>
            <w:tcW w:w="220" w:type="pct"/>
            <w:vAlign w:val="center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 xml:space="preserve">№ </w:t>
            </w:r>
            <w:proofErr w:type="gramStart"/>
            <w:r w:rsidRPr="002F42E2">
              <w:rPr>
                <w:sz w:val="24"/>
                <w:szCs w:val="24"/>
              </w:rPr>
              <w:t>п</w:t>
            </w:r>
            <w:proofErr w:type="gramEnd"/>
            <w:r w:rsidRPr="002F42E2">
              <w:rPr>
                <w:sz w:val="24"/>
                <w:szCs w:val="24"/>
              </w:rPr>
              <w:t>/п</w:t>
            </w:r>
          </w:p>
        </w:tc>
        <w:tc>
          <w:tcPr>
            <w:tcW w:w="1076" w:type="pct"/>
            <w:vAlign w:val="center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1481" w:type="pct"/>
            <w:vAlign w:val="center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689" w:type="pct"/>
            <w:vAlign w:val="center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Целевые значения</w:t>
            </w:r>
          </w:p>
        </w:tc>
        <w:tc>
          <w:tcPr>
            <w:tcW w:w="1533" w:type="pct"/>
            <w:vAlign w:val="center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Оценка показателя</w:t>
            </w:r>
          </w:p>
        </w:tc>
      </w:tr>
      <w:tr w:rsidR="006F1A24" w:rsidRPr="002F42E2" w:rsidTr="0089682E">
        <w:trPr>
          <w:tblHeader/>
        </w:trPr>
        <w:tc>
          <w:tcPr>
            <w:tcW w:w="220" w:type="pct"/>
          </w:tcPr>
          <w:p w:rsidR="006F1A24" w:rsidRPr="002F42E2" w:rsidRDefault="006F1A24" w:rsidP="0089682E">
            <w:pPr>
              <w:jc w:val="center"/>
            </w:pPr>
            <w:r w:rsidRPr="002F42E2">
              <w:t>1</w:t>
            </w:r>
          </w:p>
        </w:tc>
        <w:tc>
          <w:tcPr>
            <w:tcW w:w="1076" w:type="pct"/>
          </w:tcPr>
          <w:p w:rsidR="006F1A24" w:rsidRPr="002F42E2" w:rsidRDefault="006F1A24" w:rsidP="0089682E">
            <w:pPr>
              <w:jc w:val="center"/>
            </w:pPr>
            <w:r w:rsidRPr="002F42E2">
              <w:t>2</w:t>
            </w:r>
          </w:p>
        </w:tc>
        <w:tc>
          <w:tcPr>
            <w:tcW w:w="1481" w:type="pct"/>
          </w:tcPr>
          <w:p w:rsidR="006F1A24" w:rsidRPr="002F42E2" w:rsidRDefault="006F1A24" w:rsidP="0089682E">
            <w:pPr>
              <w:jc w:val="center"/>
            </w:pPr>
            <w:r w:rsidRPr="002F42E2">
              <w:t>3</w:t>
            </w:r>
          </w:p>
        </w:tc>
        <w:tc>
          <w:tcPr>
            <w:tcW w:w="689" w:type="pct"/>
          </w:tcPr>
          <w:p w:rsidR="006F1A24" w:rsidRPr="002F42E2" w:rsidRDefault="006F1A24" w:rsidP="0089682E">
            <w:pPr>
              <w:jc w:val="center"/>
            </w:pPr>
            <w:r w:rsidRPr="002F42E2">
              <w:t>4</w:t>
            </w:r>
          </w:p>
        </w:tc>
        <w:tc>
          <w:tcPr>
            <w:tcW w:w="1533" w:type="pct"/>
          </w:tcPr>
          <w:p w:rsidR="006F1A24" w:rsidRPr="002F42E2" w:rsidRDefault="006F1A24" w:rsidP="0089682E">
            <w:pPr>
              <w:jc w:val="center"/>
            </w:pPr>
            <w:r w:rsidRPr="002F42E2">
              <w:t>5</w:t>
            </w:r>
          </w:p>
        </w:tc>
      </w:tr>
      <w:tr w:rsidR="006F1A24" w:rsidRPr="002F42E2" w:rsidTr="0089682E">
        <w:tc>
          <w:tcPr>
            <w:tcW w:w="220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1.</w:t>
            </w:r>
          </w:p>
        </w:tc>
        <w:tc>
          <w:tcPr>
            <w:tcW w:w="1076" w:type="pct"/>
          </w:tcPr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Коэффициент снижения количества нарушений </w:t>
            </w:r>
            <w:hyperlink r:id="rId5" w:history="1">
              <w:r w:rsidRPr="002F42E2">
                <w:rPr>
                  <w:rFonts w:eastAsiaTheme="minorHAnsi"/>
                  <w:sz w:val="24"/>
                  <w:szCs w:val="24"/>
                  <w:lang w:eastAsia="en-US"/>
                </w:rPr>
                <w:t>антимонопольного законодательства</w:t>
              </w:r>
            </w:hyperlink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со стороны Комитета</w:t>
            </w:r>
          </w:p>
          <w:p w:rsidR="006F1A24" w:rsidRPr="002F42E2" w:rsidRDefault="006F1A24" w:rsidP="00896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"/>
              <w:gridCol w:w="798"/>
              <w:gridCol w:w="1268"/>
            </w:tblGrid>
            <w:tr w:rsidR="006F1A24" w:rsidRPr="002F42E2" w:rsidTr="0089682E">
              <w:tc>
                <w:tcPr>
                  <w:tcW w:w="680" w:type="dxa"/>
                  <w:vMerge w:val="restart"/>
                  <w:vAlign w:val="center"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  <w:r w:rsidRPr="002F42E2">
                    <w:rPr>
                      <w:sz w:val="24"/>
                      <w:szCs w:val="24"/>
                    </w:rPr>
                    <w:t>КСН=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F1A24" w:rsidRPr="002F42E2" w:rsidRDefault="006F1A24" w:rsidP="0089682E">
                  <w:pPr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КН</w:t>
                  </w:r>
                  <w:r w:rsidRPr="002F42E2">
                    <w:rPr>
                      <w:sz w:val="24"/>
                      <w:szCs w:val="24"/>
                      <w:vertAlign w:val="subscript"/>
                    </w:rPr>
                    <w:t>год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1A24" w:rsidRPr="002F42E2" w:rsidTr="0089682E">
              <w:tc>
                <w:tcPr>
                  <w:tcW w:w="680" w:type="dxa"/>
                  <w:vMerge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6F1A24" w:rsidRPr="002F42E2" w:rsidRDefault="006F1A24" w:rsidP="0089682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  <w:r w:rsidRPr="002F42E2">
                    <w:rPr>
                      <w:sz w:val="24"/>
                      <w:szCs w:val="24"/>
                    </w:rPr>
                    <w:t>, где:</w:t>
                  </w:r>
                </w:p>
              </w:tc>
            </w:tr>
          </w:tbl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КСН – коэффициент снижения количества нарушений антимонопольного законодательства со стороны Комитета по сравнению с предыдущим годом;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42E2">
              <w:rPr>
                <w:rFonts w:eastAsiaTheme="minorHAnsi"/>
                <w:noProof/>
                <w:sz w:val="24"/>
                <w:szCs w:val="24"/>
              </w:rPr>
              <w:t>КН</w:t>
            </w:r>
            <w:r w:rsidRPr="002F42E2">
              <w:rPr>
                <w:rFonts w:eastAsiaTheme="minorHAnsi"/>
                <w:noProof/>
                <w:sz w:val="24"/>
                <w:szCs w:val="24"/>
                <w:vertAlign w:val="subscript"/>
              </w:rPr>
              <w:t>год</w:t>
            </w:r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нарушений антимонопольного законодательства со стороны Комитета в предыдущем  году;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КНоп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нарушений антимонопольного законодательства со стороны Комитета в отчетном периоде</w:t>
            </w:r>
          </w:p>
        </w:tc>
        <w:tc>
          <w:tcPr>
            <w:tcW w:w="689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3" w:type="pct"/>
          </w:tcPr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понимания эффективности функционирования антимонопольного комплаенса в Комитете и о соответствии мероприятий антимонопольного комплаенса Комитета направлениям совершенствования государственной политики по развитию конкуренции, установленных </w:t>
            </w:r>
            <w:hyperlink r:id="rId6" w:history="1">
              <w:r w:rsidRPr="002F42E2">
                <w:rPr>
                  <w:rFonts w:eastAsiaTheme="minorHAnsi"/>
                  <w:sz w:val="24"/>
                  <w:szCs w:val="24"/>
                  <w:lang w:eastAsia="en-US"/>
                </w:rPr>
                <w:t>Национальным планом</w:t>
              </w:r>
            </w:hyperlink>
          </w:p>
        </w:tc>
      </w:tr>
      <w:tr w:rsidR="006F1A24" w:rsidRPr="002F42E2" w:rsidTr="0089682E">
        <w:tc>
          <w:tcPr>
            <w:tcW w:w="220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2.</w:t>
            </w:r>
          </w:p>
        </w:tc>
        <w:tc>
          <w:tcPr>
            <w:tcW w:w="1076" w:type="pct"/>
          </w:tcPr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Доля проектов нормативных правовых актов Комитета, в которых выявлены риски нарушения антимонопольного законодательства</w:t>
            </w:r>
          </w:p>
        </w:tc>
        <w:tc>
          <w:tcPr>
            <w:tcW w:w="1481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755"/>
              <w:gridCol w:w="1054"/>
            </w:tblGrid>
            <w:tr w:rsidR="006F1A24" w:rsidRPr="002F42E2" w:rsidTr="0089682E">
              <w:tc>
                <w:tcPr>
                  <w:tcW w:w="806" w:type="dxa"/>
                  <w:vMerge w:val="restart"/>
                  <w:vAlign w:val="center"/>
                </w:tcPr>
                <w:p w:rsidR="006F1A24" w:rsidRPr="002F42E2" w:rsidRDefault="006F1A24" w:rsidP="0089682E">
                  <w:pPr>
                    <w:ind w:left="-113" w:right="-5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Дпнпа</w:t>
                  </w:r>
                  <w:proofErr w:type="spellEnd"/>
                  <w:r w:rsidRPr="002F42E2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F1A24" w:rsidRPr="002F42E2" w:rsidRDefault="006F1A24" w:rsidP="0089682E">
                  <w:pPr>
                    <w:ind w:left="-113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Кпнпа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1A24" w:rsidRPr="002F42E2" w:rsidTr="0089682E">
              <w:tc>
                <w:tcPr>
                  <w:tcW w:w="806" w:type="dxa"/>
                  <w:vMerge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6F1A24" w:rsidRPr="002F42E2" w:rsidRDefault="006F1A24" w:rsidP="0089682E">
                  <w:pPr>
                    <w:ind w:left="-11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6F1A24" w:rsidRPr="002F42E2" w:rsidRDefault="006F1A24" w:rsidP="0089682E">
                  <w:pPr>
                    <w:ind w:left="-113"/>
                    <w:jc w:val="both"/>
                    <w:rPr>
                      <w:sz w:val="24"/>
                      <w:szCs w:val="24"/>
                    </w:rPr>
                  </w:pPr>
                  <w:r w:rsidRPr="002F42E2">
                    <w:rPr>
                      <w:sz w:val="24"/>
                      <w:szCs w:val="24"/>
                    </w:rPr>
                    <w:t>, где:</w:t>
                  </w:r>
                </w:p>
              </w:tc>
            </w:tr>
          </w:tbl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Дпнпа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доля проектов нормативных правовых актов Комитета, в которых выявлены риски нарушения антимонопольного законодательства;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Кпнпа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проектов нормативных правовых актов Комитета, в которых Комитетом выявлены риски нарушения антимонопольного законодательства (в </w:t>
            </w:r>
            <w:r w:rsidRPr="002F42E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отчетном периоде);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КНоп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689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33" w:type="pct"/>
          </w:tcPr>
          <w:p w:rsidR="006F1A24" w:rsidRPr="002F42E2" w:rsidRDefault="006F1A24" w:rsidP="008968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Обеспечение понимания эффективности мероприятий антимонопольного комплаенса в части анализа проектов нормативных правовых актов Комитета</w:t>
            </w:r>
          </w:p>
        </w:tc>
      </w:tr>
      <w:tr w:rsidR="006F1A24" w:rsidRPr="002F42E2" w:rsidTr="0089682E">
        <w:tc>
          <w:tcPr>
            <w:tcW w:w="220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76" w:type="pct"/>
          </w:tcPr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Доля нормативных правовых актов Комитета, в которых выявлены риски нарушения антимонопольного законодательства</w:t>
            </w:r>
          </w:p>
          <w:p w:rsidR="006F1A24" w:rsidRPr="002F42E2" w:rsidRDefault="006F1A24" w:rsidP="00896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685"/>
              <w:gridCol w:w="1268"/>
            </w:tblGrid>
            <w:tr w:rsidR="006F1A24" w:rsidRPr="002F42E2" w:rsidTr="0089682E">
              <w:tc>
                <w:tcPr>
                  <w:tcW w:w="680" w:type="dxa"/>
                  <w:vMerge w:val="restart"/>
                  <w:vAlign w:val="center"/>
                </w:tcPr>
                <w:p w:rsidR="006F1A24" w:rsidRPr="002F42E2" w:rsidRDefault="006F1A24" w:rsidP="0089682E">
                  <w:pPr>
                    <w:ind w:left="-11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Днпа</w:t>
                  </w:r>
                  <w:proofErr w:type="spellEnd"/>
                  <w:r w:rsidRPr="002F42E2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6F1A24" w:rsidRPr="002F42E2" w:rsidRDefault="006F1A24" w:rsidP="0089682E">
                  <w:pPr>
                    <w:ind w:left="-113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Кнпа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1A24" w:rsidRPr="002F42E2" w:rsidTr="0089682E">
              <w:tc>
                <w:tcPr>
                  <w:tcW w:w="680" w:type="dxa"/>
                  <w:vMerge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6F1A24" w:rsidRPr="002F42E2" w:rsidRDefault="006F1A24" w:rsidP="0089682E">
                  <w:pPr>
                    <w:ind w:left="-11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6F1A24" w:rsidRPr="002F42E2" w:rsidRDefault="006F1A24" w:rsidP="0089682E">
                  <w:pPr>
                    <w:ind w:left="-113"/>
                    <w:jc w:val="both"/>
                    <w:rPr>
                      <w:sz w:val="24"/>
                      <w:szCs w:val="24"/>
                    </w:rPr>
                  </w:pPr>
                  <w:r w:rsidRPr="002F42E2">
                    <w:rPr>
                      <w:sz w:val="24"/>
                      <w:szCs w:val="24"/>
                    </w:rPr>
                    <w:t>, где:</w:t>
                  </w:r>
                </w:p>
              </w:tc>
            </w:tr>
          </w:tbl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Днпа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доля нормативных правовых актов Комитета, в которых выявлены риски нарушения антимонопольного законодательства;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Кпнпа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КНоп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689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3" w:type="pct"/>
          </w:tcPr>
          <w:p w:rsidR="006F1A24" w:rsidRPr="002F42E2" w:rsidRDefault="006F1A24" w:rsidP="0089682E">
            <w:pPr>
              <w:jc w:val="both"/>
              <w:rPr>
                <w:sz w:val="24"/>
                <w:szCs w:val="24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Обеспечение понимания эффективности мероприятий антимонопольного комплаенса в части анализа нормативных правовых актов Комитета</w:t>
            </w:r>
          </w:p>
        </w:tc>
      </w:tr>
      <w:tr w:rsidR="006F1A24" w:rsidRPr="002F42E2" w:rsidTr="0089682E">
        <w:tc>
          <w:tcPr>
            <w:tcW w:w="220" w:type="pct"/>
          </w:tcPr>
          <w:p w:rsidR="006F1A24" w:rsidRPr="002F42E2" w:rsidRDefault="006F1A24" w:rsidP="0089682E">
            <w:pPr>
              <w:jc w:val="center"/>
              <w:rPr>
                <w:sz w:val="24"/>
                <w:szCs w:val="24"/>
              </w:rPr>
            </w:pPr>
            <w:r w:rsidRPr="002F42E2">
              <w:rPr>
                <w:sz w:val="24"/>
                <w:szCs w:val="24"/>
              </w:rPr>
              <w:t>4.</w:t>
            </w:r>
          </w:p>
        </w:tc>
        <w:tc>
          <w:tcPr>
            <w:tcW w:w="1076" w:type="pct"/>
          </w:tcPr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Доля сотрудников Комитета, в отношении которых были проведены обучающие мероприятия по </w:t>
            </w:r>
            <w:hyperlink r:id="rId7" w:history="1">
              <w:r w:rsidRPr="002F42E2">
                <w:rPr>
                  <w:rFonts w:eastAsiaTheme="minorHAnsi"/>
                  <w:sz w:val="24"/>
                  <w:szCs w:val="24"/>
                  <w:lang w:eastAsia="en-US"/>
                </w:rPr>
                <w:t>антимонопольному законодательству</w:t>
              </w:r>
            </w:hyperlink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и антимонопольному комплаенсу</w:t>
            </w:r>
          </w:p>
        </w:tc>
        <w:tc>
          <w:tcPr>
            <w:tcW w:w="1481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851"/>
              <w:gridCol w:w="1268"/>
            </w:tblGrid>
            <w:tr w:rsidR="006F1A24" w:rsidRPr="002F42E2" w:rsidTr="0089682E">
              <w:tc>
                <w:tcPr>
                  <w:tcW w:w="556" w:type="dxa"/>
                  <w:vMerge w:val="restart"/>
                  <w:vAlign w:val="center"/>
                </w:tcPr>
                <w:p w:rsidR="006F1A24" w:rsidRPr="002F42E2" w:rsidRDefault="006F1A24" w:rsidP="0089682E">
                  <w:pPr>
                    <w:ind w:left="-11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ДСо</w:t>
                  </w:r>
                  <w:proofErr w:type="spellEnd"/>
                  <w:r w:rsidRPr="002F42E2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</w:tcPr>
                <w:p w:rsidR="006F1A24" w:rsidRPr="002F42E2" w:rsidRDefault="006F1A24" w:rsidP="0089682E">
                  <w:pPr>
                    <w:ind w:left="-113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КСо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1A24" w:rsidRPr="002F42E2" w:rsidTr="0089682E">
              <w:tc>
                <w:tcPr>
                  <w:tcW w:w="556" w:type="dxa"/>
                  <w:vMerge/>
                </w:tcPr>
                <w:p w:rsidR="006F1A24" w:rsidRPr="002F42E2" w:rsidRDefault="006F1A24" w:rsidP="008968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6F1A24" w:rsidRPr="002F42E2" w:rsidRDefault="006F1A24" w:rsidP="0089682E">
                  <w:pPr>
                    <w:ind w:left="-11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F42E2">
                    <w:rPr>
                      <w:sz w:val="24"/>
                      <w:szCs w:val="24"/>
                    </w:rPr>
                    <w:t>КСобщ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6F1A24" w:rsidRPr="002F42E2" w:rsidRDefault="006F1A24" w:rsidP="0089682E">
                  <w:pPr>
                    <w:ind w:left="-113"/>
                    <w:jc w:val="both"/>
                    <w:rPr>
                      <w:sz w:val="24"/>
                      <w:szCs w:val="24"/>
                    </w:rPr>
                  </w:pPr>
                  <w:r w:rsidRPr="002F42E2">
                    <w:rPr>
                      <w:sz w:val="24"/>
                      <w:szCs w:val="24"/>
                    </w:rPr>
                    <w:t>, где:</w:t>
                  </w:r>
                </w:p>
              </w:tc>
            </w:tr>
          </w:tbl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ДСо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доля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КСо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количество сотрудников Комитета, с которыми были проведены обучающие мероприятия по антимонопольному </w:t>
            </w:r>
            <w:r w:rsidRPr="002F42E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законодательству и антимонопольному комплаенсу;</w:t>
            </w:r>
          </w:p>
          <w:p w:rsidR="006F1A24" w:rsidRPr="002F42E2" w:rsidRDefault="006F1A24" w:rsidP="008968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>КСобщ</w:t>
            </w:r>
            <w:proofErr w:type="spellEnd"/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– общее количество сотрудников Комитета, чьи должностные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689" w:type="pct"/>
          </w:tcPr>
          <w:p w:rsidR="006F1A24" w:rsidRPr="00890836" w:rsidRDefault="006F1A24" w:rsidP="0089682E">
            <w:pPr>
              <w:jc w:val="center"/>
              <w:rPr>
                <w:sz w:val="24"/>
                <w:szCs w:val="24"/>
              </w:rPr>
            </w:pPr>
            <w:r w:rsidRPr="008908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3" w:type="pct"/>
          </w:tcPr>
          <w:p w:rsidR="006F1A24" w:rsidRPr="002F42E2" w:rsidRDefault="006F1A24" w:rsidP="0089682E">
            <w:pPr>
              <w:jc w:val="both"/>
              <w:rPr>
                <w:sz w:val="24"/>
                <w:szCs w:val="24"/>
              </w:rPr>
            </w:pPr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Профилактика нарушений требований антимонопольного законодательства в деятельности Комитета; возможность достижения целей Национального плана, предусмотренных </w:t>
            </w:r>
            <w:hyperlink r:id="rId8" w:history="1">
              <w:r w:rsidRPr="002F42E2">
                <w:rPr>
                  <w:rFonts w:eastAsiaTheme="minorHAnsi"/>
                  <w:sz w:val="24"/>
                  <w:szCs w:val="24"/>
                  <w:lang w:eastAsia="en-US"/>
                </w:rPr>
                <w:t>подпунктом «б» пункта 1</w:t>
              </w:r>
            </w:hyperlink>
            <w:r w:rsidRPr="002F42E2">
              <w:rPr>
                <w:rFonts w:eastAsiaTheme="minorHAnsi"/>
                <w:sz w:val="24"/>
                <w:szCs w:val="24"/>
                <w:lang w:eastAsia="en-US"/>
              </w:rPr>
              <w:t xml:space="preserve"> Национального плана.</w:t>
            </w:r>
          </w:p>
        </w:tc>
      </w:tr>
    </w:tbl>
    <w:p w:rsidR="006F1A24" w:rsidRPr="002F42E2" w:rsidRDefault="006F1A24" w:rsidP="006F1A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</w:p>
    <w:p w:rsidR="00B55F48" w:rsidRDefault="00B55F48"/>
    <w:sectPr w:rsidR="00B55F48" w:rsidSect="00EB69D0">
      <w:pgSz w:w="16838" w:h="11906" w:orient="landscape" w:code="9"/>
      <w:pgMar w:top="1418" w:right="567" w:bottom="567" w:left="567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E"/>
    <w:rsid w:val="005B670E"/>
    <w:rsid w:val="006F1A24"/>
    <w:rsid w:val="00B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F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F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9482.10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739482.1000" TargetMode="External"/><Relationship Id="rId5" Type="http://schemas.openxmlformats.org/officeDocument/2006/relationships/hyperlink" Target="garantF1://12048517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2020-02-20T02:58:00Z</dcterms:created>
  <dcterms:modified xsi:type="dcterms:W3CDTF">2020-02-20T02:58:00Z</dcterms:modified>
</cp:coreProperties>
</file>