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18" w:rsidRPr="00127A18" w:rsidRDefault="00127A18" w:rsidP="00127A18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0390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18" w:rsidRPr="00127A18" w:rsidRDefault="00127A18" w:rsidP="00127A1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5"/>
      </w:tblGrid>
      <w:tr w:rsidR="00127A18" w:rsidRPr="00127A18" w:rsidTr="005C7C6C">
        <w:trPr>
          <w:jc w:val="center"/>
        </w:trPr>
        <w:tc>
          <w:tcPr>
            <w:tcW w:w="10674" w:type="dxa"/>
          </w:tcPr>
          <w:p w:rsidR="00127A18" w:rsidRPr="00127A18" w:rsidRDefault="00127A18" w:rsidP="00127A18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 ЗДРАВООХРАНЕНИЯ  ЧУКОТСКОГО  АВТОНОМНОГО  ОКРУГА</w:t>
            </w:r>
          </w:p>
          <w:p w:rsidR="00127A18" w:rsidRPr="00127A18" w:rsidRDefault="00127A18" w:rsidP="00127A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7A18" w:rsidRPr="00127A18" w:rsidRDefault="00127A18" w:rsidP="00127A1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127A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П Р И К А З</w:t>
      </w: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127A18" w:rsidRPr="00127A18" w:rsidTr="005C7C6C">
        <w:tc>
          <w:tcPr>
            <w:tcW w:w="604" w:type="dxa"/>
            <w:vAlign w:val="center"/>
          </w:tcPr>
          <w:p w:rsidR="00127A18" w:rsidRPr="00127A18" w:rsidRDefault="00127A18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127A18" w:rsidRPr="00127A18" w:rsidRDefault="00A86CE1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31.03.2021</w:t>
            </w:r>
          </w:p>
        </w:tc>
        <w:tc>
          <w:tcPr>
            <w:tcW w:w="236" w:type="dxa"/>
            <w:vAlign w:val="center"/>
          </w:tcPr>
          <w:p w:rsidR="00127A18" w:rsidRPr="00127A18" w:rsidRDefault="00127A18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8" w:type="dxa"/>
            <w:vAlign w:val="center"/>
          </w:tcPr>
          <w:p w:rsidR="00127A18" w:rsidRPr="00127A18" w:rsidRDefault="00127A18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26" w:type="dxa"/>
            <w:vAlign w:val="center"/>
          </w:tcPr>
          <w:p w:rsidR="00127A18" w:rsidRPr="00127A18" w:rsidRDefault="00A86CE1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240</w:t>
            </w:r>
            <w:bookmarkStart w:id="0" w:name="_GoBack"/>
            <w:bookmarkEnd w:id="0"/>
          </w:p>
        </w:tc>
        <w:tc>
          <w:tcPr>
            <w:tcW w:w="3858" w:type="dxa"/>
            <w:vAlign w:val="center"/>
          </w:tcPr>
          <w:p w:rsidR="00127A18" w:rsidRPr="00127A18" w:rsidRDefault="00127A18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Анадырь</w:t>
            </w:r>
          </w:p>
        </w:tc>
      </w:tr>
    </w:tbl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4485"/>
      </w:tblGrid>
      <w:tr w:rsidR="00127A18" w:rsidRPr="00127A18" w:rsidTr="005C7C6C">
        <w:tc>
          <w:tcPr>
            <w:tcW w:w="4485" w:type="dxa"/>
          </w:tcPr>
          <w:p w:rsidR="00127A18" w:rsidRPr="00127A18" w:rsidRDefault="00532CED" w:rsidP="003544A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приказ Департамента здравоохранения Чукотского автономного округа от 04.03.2019 № 17/3</w:t>
            </w:r>
          </w:p>
        </w:tc>
      </w:tr>
    </w:tbl>
    <w:p w:rsidR="00127A18" w:rsidRPr="00127A18" w:rsidRDefault="00127A18" w:rsidP="00127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18" w:rsidRPr="00127A18" w:rsidRDefault="008D4818" w:rsidP="0012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532CE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отдельных положений нормативного правового акта Департамента здравоохранения Чукотского автономного округа</w:t>
      </w:r>
      <w:r w:rsidR="00127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A18"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7A18" w:rsidRPr="00127A18" w:rsidRDefault="00127A18" w:rsidP="00127A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127A18" w:rsidRPr="00127A18" w:rsidRDefault="00127A18" w:rsidP="0012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44A9" w:rsidRPr="003544A9" w:rsidRDefault="00532CED" w:rsidP="003544A9">
      <w:pPr>
        <w:keepNext/>
        <w:numPr>
          <w:ilvl w:val="0"/>
          <w:numId w:val="8"/>
        </w:numPr>
        <w:tabs>
          <w:tab w:val="left" w:pos="851"/>
        </w:tabs>
        <w:overflowPunct w:val="0"/>
        <w:spacing w:after="0"/>
        <w:ind w:left="0" w:firstLine="7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приказ Департамента здравоохранения Чукотского автономного округа от 04.03.2019 № 17/3 «</w:t>
      </w:r>
      <w:r w:rsidRPr="00C05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 мероприятий («дорожная карта») по снижению рисков нарушения антимонопольного законодательства </w:t>
      </w:r>
      <w:r w:rsidR="009C4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здравоохранения</w:t>
      </w:r>
      <w:r w:rsidRPr="00C05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Чукотского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44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изложив приложение к приказу в редакции согласно приложению к настоящему приказу.</w:t>
      </w:r>
    </w:p>
    <w:p w:rsidR="008D4818" w:rsidRPr="008D4818" w:rsidRDefault="008D4818" w:rsidP="003544A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8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приказа оставляю за собой.</w:t>
      </w:r>
    </w:p>
    <w:p w:rsidR="008D4818" w:rsidRPr="008D4818" w:rsidRDefault="008D4818" w:rsidP="008D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18" w:rsidRDefault="00127A18" w:rsidP="008D4818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Default="00127A18" w:rsidP="00127A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A86CE1" w:rsidP="00127A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Подписано электронной подписью</w:t>
      </w:r>
      <w:r w:rsidR="00127A18"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7A18"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7A18"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7A18"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7A18"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7A18"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7A18"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4A9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544A9" w:rsidSect="00127A18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85"/>
        <w:gridCol w:w="4683"/>
      </w:tblGrid>
      <w:tr w:rsidR="00127A18" w:rsidRPr="00127A18" w:rsidTr="005C7C6C">
        <w:tc>
          <w:tcPr>
            <w:tcW w:w="4785" w:type="dxa"/>
          </w:tcPr>
          <w:p w:rsidR="00127A18" w:rsidRPr="00127A18" w:rsidRDefault="00127A18" w:rsidP="00127A1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</w:p>
        </w:tc>
        <w:tc>
          <w:tcPr>
            <w:tcW w:w="4683" w:type="dxa"/>
          </w:tcPr>
          <w:p w:rsidR="00127A18" w:rsidRPr="00127A18" w:rsidRDefault="00127A18" w:rsidP="00127A1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081B" w:rsidRDefault="008D4818" w:rsidP="0029081B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D4818" w:rsidRPr="008D4818" w:rsidRDefault="008D4818" w:rsidP="0029081B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</w:t>
      </w:r>
      <w:r w:rsidR="00290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8D4818" w:rsidRPr="008D4818" w:rsidRDefault="008D4818" w:rsidP="0029081B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8D4818" w:rsidRDefault="00A86CE1" w:rsidP="0029081B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</w:t>
      </w:r>
      <w:r w:rsidR="005264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8D4818"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</w:p>
    <w:p w:rsidR="00526491" w:rsidRDefault="00A86CE1" w:rsidP="00526491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6491"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26491" w:rsidRPr="008D4818" w:rsidRDefault="00526491" w:rsidP="00526491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526491" w:rsidRPr="008D4818" w:rsidRDefault="00526491" w:rsidP="00526491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526491" w:rsidRPr="008D4818" w:rsidRDefault="00526491" w:rsidP="00526491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04.03.2019 № 17/3</w:t>
      </w:r>
    </w:p>
    <w:p w:rsidR="00526491" w:rsidRPr="008D4818" w:rsidRDefault="00526491" w:rsidP="0029081B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18" w:rsidRPr="008D4818" w:rsidRDefault="008D4818" w:rsidP="008D48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2"/>
      <w:bookmarkEnd w:id="1"/>
    </w:p>
    <w:p w:rsidR="00C058AC" w:rsidRDefault="00C058AC" w:rsidP="003544A9">
      <w:pPr>
        <w:keepNext/>
        <w:overflowPunct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58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мероприятий («дорожная карта») по снижению рисков нарушения антимонопольного законодательства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544A9" w:rsidRPr="003544A9" w:rsidRDefault="003544A9" w:rsidP="003544A9">
      <w:pPr>
        <w:keepNext/>
        <w:overflowPunct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4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Департамента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здравоохранения</w:t>
      </w:r>
      <w:r w:rsidRPr="00354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Чукотского автономного округа</w:t>
      </w: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15404" w:type="dxa"/>
        <w:tblLook w:val="04A0" w:firstRow="1" w:lastRow="0" w:firstColumn="1" w:lastColumn="0" w:noHBand="0" w:noVBand="1"/>
      </w:tblPr>
      <w:tblGrid>
        <w:gridCol w:w="548"/>
        <w:gridCol w:w="3003"/>
        <w:gridCol w:w="2403"/>
        <w:gridCol w:w="3343"/>
        <w:gridCol w:w="3237"/>
        <w:gridCol w:w="2870"/>
      </w:tblGrid>
      <w:tr w:rsidR="00526491" w:rsidRPr="004E5BED" w:rsidTr="004E5BED">
        <w:tc>
          <w:tcPr>
            <w:tcW w:w="621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29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Риск (согласно карте риска)</w:t>
            </w:r>
          </w:p>
        </w:tc>
        <w:tc>
          <w:tcPr>
            <w:tcW w:w="2563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минимизацию и устранение рисков</w:t>
            </w:r>
          </w:p>
        </w:tc>
        <w:tc>
          <w:tcPr>
            <w:tcW w:w="3522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(структурного подразделения)</w:t>
            </w:r>
          </w:p>
        </w:tc>
        <w:tc>
          <w:tcPr>
            <w:tcW w:w="3459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510" w:type="dxa"/>
          </w:tcPr>
          <w:p w:rsidR="00C058AC" w:rsidRPr="004E5BED" w:rsidRDefault="00C058AC" w:rsidP="005C7C6C">
            <w:pPr>
              <w:keepNext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26491" w:rsidRPr="00C058AC" w:rsidTr="004E5BED">
        <w:tc>
          <w:tcPr>
            <w:tcW w:w="621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29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участников закупки;</w:t>
            </w:r>
          </w:p>
          <w:p w:rsidR="00C058AC" w:rsidRPr="00C058AC" w:rsidRDefault="00C058AC" w:rsidP="00C058AC">
            <w:pPr>
              <w:keepNext/>
              <w:overflowPunct w:val="0"/>
              <w:spacing w:after="0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- 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C058AC" w:rsidRPr="00C058AC" w:rsidRDefault="00C058AC" w:rsidP="00C058AC">
            <w:pPr>
              <w:keepNext/>
              <w:overflowPunct w:val="0"/>
              <w:spacing w:after="0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- 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 w:rsidR="00C058AC" w:rsidRPr="00C058AC" w:rsidRDefault="00C058AC" w:rsidP="00C058AC">
            <w:pPr>
              <w:keepNext/>
              <w:overflowPunct w:val="0"/>
              <w:spacing w:after="0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нарушение порядка определения победителя закупки;</w:t>
            </w:r>
          </w:p>
          <w:p w:rsidR="00C058AC" w:rsidRPr="00C058AC" w:rsidRDefault="00C058AC" w:rsidP="00C058AC">
            <w:pPr>
              <w:keepNext/>
              <w:overflowPunct w:val="0"/>
              <w:spacing w:after="0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- нарушение порядка определения начальной (максимальной) цены государственного контракта</w:t>
            </w:r>
          </w:p>
        </w:tc>
        <w:tc>
          <w:tcPr>
            <w:tcW w:w="2563" w:type="dxa"/>
          </w:tcPr>
          <w:p w:rsidR="00C058AC" w:rsidRPr="00C058AC" w:rsidRDefault="00C058AC" w:rsidP="00C058AC">
            <w:pPr>
              <w:pStyle w:val="1"/>
              <w:keepNext/>
              <w:shd w:val="clear" w:color="auto" w:fill="auto"/>
              <w:tabs>
                <w:tab w:val="left" w:pos="240"/>
              </w:tabs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lastRenderedPageBreak/>
              <w:t>- систематическое повышение квалификации работников Департамента (специалистов по закупкам);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tabs>
                <w:tab w:val="left" w:pos="240"/>
                <w:tab w:val="left" w:pos="3360"/>
              </w:tabs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мониторинг и анализ изменений, вносимых в законодательство о контрактной системе в сфере закупок;</w:t>
            </w:r>
          </w:p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1"/>
              </w:numPr>
              <w:shd w:val="clear" w:color="auto" w:fill="auto"/>
              <w:tabs>
                <w:tab w:val="left" w:pos="0"/>
                <w:tab w:val="left" w:pos="480"/>
                <w:tab w:val="left" w:pos="3360"/>
              </w:tabs>
              <w:overflowPunct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мониторинг и анализ применения антимонопольного законодательства;</w:t>
            </w:r>
          </w:p>
          <w:p w:rsidR="004E5BED" w:rsidRDefault="00C058AC" w:rsidP="004E5BED">
            <w:pPr>
              <w:pStyle w:val="1"/>
              <w:keepNext/>
              <w:numPr>
                <w:ilvl w:val="0"/>
                <w:numId w:val="11"/>
              </w:numPr>
              <w:shd w:val="clear" w:color="auto" w:fill="auto"/>
              <w:tabs>
                <w:tab w:val="left" w:pos="-88"/>
                <w:tab w:val="left" w:pos="480"/>
                <w:tab w:val="left" w:pos="3360"/>
              </w:tabs>
              <w:overflowPunct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 xml:space="preserve">внесение изменений в должностные регламенты в части требований о знании и изучении антимонопольного законодательства и изменений, вносимых в законодательство о </w:t>
            </w:r>
            <w:r w:rsidRPr="00C058AC">
              <w:rPr>
                <w:sz w:val="24"/>
                <w:szCs w:val="24"/>
              </w:rPr>
              <w:lastRenderedPageBreak/>
              <w:t>контрактной системе в сфере закупок;</w:t>
            </w:r>
          </w:p>
          <w:p w:rsidR="00C058AC" w:rsidRPr="004E5BED" w:rsidRDefault="00C058AC" w:rsidP="004E5BED">
            <w:pPr>
              <w:pStyle w:val="1"/>
              <w:keepNext/>
              <w:numPr>
                <w:ilvl w:val="0"/>
                <w:numId w:val="11"/>
              </w:numPr>
              <w:shd w:val="clear" w:color="auto" w:fill="auto"/>
              <w:tabs>
                <w:tab w:val="left" w:pos="-88"/>
                <w:tab w:val="left" w:pos="480"/>
                <w:tab w:val="left" w:pos="3360"/>
              </w:tabs>
              <w:overflowPunct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4E5BED">
              <w:rPr>
                <w:sz w:val="24"/>
                <w:szCs w:val="24"/>
              </w:rPr>
              <w:t>принятие мер, исключающих доступ хозяйствующих субъектов к информации в приоритетном порядке;</w:t>
            </w:r>
          </w:p>
          <w:p w:rsidR="00C058AC" w:rsidRPr="00C058AC" w:rsidRDefault="00C058AC" w:rsidP="004E5BED">
            <w:pPr>
              <w:pStyle w:val="1"/>
              <w:keepNext/>
              <w:shd w:val="clear" w:color="auto" w:fill="auto"/>
              <w:tabs>
                <w:tab w:val="left" w:pos="-88"/>
                <w:tab w:val="left" w:pos="240"/>
                <w:tab w:val="left" w:pos="3360"/>
              </w:tabs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принятие мер по недопущению конфликта интересов,  согласованных действий, ущемляющих права хозяйствующих субъектов;</w:t>
            </w:r>
          </w:p>
          <w:p w:rsidR="00C058AC" w:rsidRPr="00C058AC" w:rsidRDefault="00C058AC" w:rsidP="004E5BED">
            <w:pPr>
              <w:pStyle w:val="1"/>
              <w:keepNext/>
              <w:shd w:val="clear" w:color="auto" w:fill="auto"/>
              <w:tabs>
                <w:tab w:val="left" w:pos="0"/>
                <w:tab w:val="left" w:pos="240"/>
                <w:tab w:val="left" w:pos="3360"/>
              </w:tabs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контроль со стороны руководства за соблюдением требований законодательства в сфере закупок</w:t>
            </w:r>
          </w:p>
        </w:tc>
        <w:tc>
          <w:tcPr>
            <w:tcW w:w="3522" w:type="dxa"/>
          </w:tcPr>
          <w:p w:rsidR="00C058AC" w:rsidRPr="00C058AC" w:rsidRDefault="00526491" w:rsidP="004E5BED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4E5BED" w:rsidRPr="004E5B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4E5BED" w:rsidRPr="004E5BED">
              <w:rPr>
                <w:rFonts w:ascii="Times New Roman" w:hAnsi="Times New Roman" w:cs="Times New Roman"/>
                <w:sz w:val="24"/>
                <w:szCs w:val="24"/>
              </w:rPr>
              <w:t xml:space="preserve">закупок  </w:t>
            </w:r>
          </w:p>
        </w:tc>
        <w:tc>
          <w:tcPr>
            <w:tcW w:w="3459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0" w:type="dxa"/>
          </w:tcPr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spacing w:after="0"/>
              <w:ind w:left="6" w:hanging="6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минимизация рисков нарушения  антимонопольного законодательства;</w:t>
            </w:r>
          </w:p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прохождение работников Департамента обучения по программе повышения квалификации и профессиональной переподготовки;</w:t>
            </w:r>
          </w:p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повышение контроля со стороны руководства за соблюдением требований законодательства в сфере закупок.</w:t>
            </w:r>
          </w:p>
        </w:tc>
      </w:tr>
      <w:tr w:rsidR="00526491" w:rsidRPr="00C058AC" w:rsidTr="004E5BED">
        <w:tc>
          <w:tcPr>
            <w:tcW w:w="621" w:type="dxa"/>
          </w:tcPr>
          <w:p w:rsidR="00C058AC" w:rsidRPr="00C058AC" w:rsidRDefault="004E5BED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058AC" w:rsidRPr="00C05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overflowPunct w:val="0"/>
              <w:spacing w:after="0"/>
              <w:ind w:left="-54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создание дискриминационных или преимущественных условий для отдельных хозяйствующих субъектов;</w:t>
            </w:r>
          </w:p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overflowPunct w:val="0"/>
              <w:spacing w:after="0"/>
              <w:ind w:left="-54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введение дополнительных (необоснованных) ограничений и требований для отдельных хозяйствующих субъектов;</w:t>
            </w:r>
          </w:p>
          <w:p w:rsidR="00C058AC" w:rsidRPr="00C058AC" w:rsidRDefault="00C058AC" w:rsidP="00CC2CCA">
            <w:pPr>
              <w:pStyle w:val="1"/>
              <w:keepNext/>
              <w:shd w:val="clear" w:color="auto" w:fill="auto"/>
              <w:tabs>
                <w:tab w:val="left" w:pos="240"/>
              </w:tabs>
              <w:overflowPunct w:val="0"/>
              <w:spacing w:after="0"/>
              <w:ind w:left="-54"/>
              <w:jc w:val="both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внесение изменений в должностные регламенты в части требований о знании и изучении антимонопольного законодательства и изменений, вносимых в законодательство о</w:t>
            </w:r>
            <w:r w:rsidR="00CC2CCA">
              <w:rPr>
                <w:sz w:val="24"/>
                <w:szCs w:val="24"/>
              </w:rPr>
              <w:t>б охране здоровья граждан лицензировании медицинской и фармацевтической деятельности</w:t>
            </w:r>
            <w:r w:rsidRPr="00C058AC">
              <w:rPr>
                <w:sz w:val="24"/>
                <w:szCs w:val="24"/>
              </w:rPr>
              <w:t>;</w:t>
            </w:r>
          </w:p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анализ проектов нормативно правовых актов на соответствие требованиям антимонопольного законодательства;</w:t>
            </w:r>
          </w:p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89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размещение проектов нормативных правовых</w:t>
            </w:r>
            <w:r w:rsidR="00CC2CCA">
              <w:rPr>
                <w:sz w:val="24"/>
                <w:szCs w:val="24"/>
              </w:rPr>
              <w:t xml:space="preserve"> на официальной страничке в сети «Интернет»;</w:t>
            </w:r>
            <w:r w:rsidRPr="00C058AC">
              <w:rPr>
                <w:sz w:val="24"/>
                <w:szCs w:val="24"/>
              </w:rPr>
              <w:lastRenderedPageBreak/>
              <w:tab/>
              <w:t>актов, действующих нормативных правовых актов на официальном сайте Департамента для проведения анализа на предмет соответствия их антимонопольному законодательству;</w:t>
            </w:r>
          </w:p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89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анализ и оценка поступивших от организаций и граждан замечаний и предложений по проекту нормативного правового акта, по действующему нормативному правовому акту о несоответствии их антимонопольному законодательству;</w:t>
            </w:r>
          </w:p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89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 xml:space="preserve">систематическое повышение квалификации работников, </w:t>
            </w:r>
            <w:r w:rsidRPr="00C058AC">
              <w:rPr>
                <w:sz w:val="24"/>
                <w:szCs w:val="24"/>
              </w:rPr>
              <w:lastRenderedPageBreak/>
              <w:t>осуществляющих разработку нормативных правовых актов;</w:t>
            </w:r>
          </w:p>
          <w:p w:rsidR="00C058AC" w:rsidRPr="00C058AC" w:rsidRDefault="00C058AC" w:rsidP="005F5600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 xml:space="preserve">анализ изменений, вносимых в законодательство в сфере </w:t>
            </w:r>
            <w:r w:rsidR="005F5600" w:rsidRPr="005F5600">
              <w:rPr>
                <w:sz w:val="24"/>
                <w:szCs w:val="24"/>
              </w:rPr>
              <w:t>охране здоровья граждан лицензировании медицинской и фармацевтической деятельности</w:t>
            </w:r>
            <w:r w:rsidRPr="00C058AC">
              <w:rPr>
                <w:sz w:val="24"/>
                <w:szCs w:val="24"/>
              </w:rPr>
              <w:t>;</w:t>
            </w:r>
          </w:p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89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мониторинг и анализ применения антимонопольного законодательства;</w:t>
            </w:r>
          </w:p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89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усиление внутреннего контроля при подготовке нормативных правовых актов</w:t>
            </w:r>
          </w:p>
        </w:tc>
        <w:tc>
          <w:tcPr>
            <w:tcW w:w="3522" w:type="dxa"/>
          </w:tcPr>
          <w:p w:rsidR="00C058AC" w:rsidRDefault="00526491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</w:t>
            </w:r>
            <w:r w:rsidR="005F5600" w:rsidRPr="005F5600">
              <w:rPr>
                <w:sz w:val="24"/>
                <w:szCs w:val="24"/>
              </w:rPr>
              <w:t xml:space="preserve"> организации </w:t>
            </w:r>
            <w:r>
              <w:rPr>
                <w:sz w:val="24"/>
                <w:szCs w:val="24"/>
              </w:rPr>
              <w:t xml:space="preserve">государственных </w:t>
            </w:r>
            <w:r w:rsidR="005F5600" w:rsidRPr="005F5600">
              <w:rPr>
                <w:sz w:val="24"/>
                <w:szCs w:val="24"/>
              </w:rPr>
              <w:t xml:space="preserve">закупок  </w:t>
            </w:r>
          </w:p>
          <w:p w:rsidR="005F5600" w:rsidRPr="00C058AC" w:rsidRDefault="005F5600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Финансово-экономическое управление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</w:p>
          <w:p w:rsidR="00C058AC" w:rsidRPr="00C058AC" w:rsidRDefault="00526491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административной, правовой и кадровой</w:t>
            </w:r>
            <w:r w:rsidR="00C058AC" w:rsidRPr="00C058AC">
              <w:rPr>
                <w:sz w:val="24"/>
                <w:szCs w:val="24"/>
              </w:rPr>
              <w:t xml:space="preserve"> работы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tabs>
                <w:tab w:val="left" w:pos="240"/>
              </w:tabs>
              <w:overflowPunct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C058AC" w:rsidRPr="00C058AC" w:rsidRDefault="00C058AC" w:rsidP="00C058AC">
            <w:pPr>
              <w:pStyle w:val="1"/>
              <w:keepNext/>
              <w:shd w:val="clear" w:color="auto" w:fill="auto"/>
              <w:tabs>
                <w:tab w:val="left" w:pos="0"/>
                <w:tab w:val="left" w:pos="240"/>
                <w:tab w:val="left" w:pos="480"/>
              </w:tabs>
              <w:overflowPunct w:val="0"/>
              <w:spacing w:after="0"/>
              <w:jc w:val="center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постоянно</w:t>
            </w:r>
          </w:p>
        </w:tc>
        <w:tc>
          <w:tcPr>
            <w:tcW w:w="2510" w:type="dxa"/>
          </w:tcPr>
          <w:p w:rsidR="00C058AC" w:rsidRPr="00C058AC" w:rsidRDefault="00C058AC" w:rsidP="00204206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минимизация рисков нарушения  антимонопольного законодательства;</w:t>
            </w:r>
          </w:p>
          <w:p w:rsidR="00C058AC" w:rsidRPr="00C058AC" w:rsidRDefault="00C058AC" w:rsidP="00204206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ind w:left="-136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C058AC" w:rsidRPr="00C058AC" w:rsidRDefault="00C058AC" w:rsidP="00204206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ind w:left="-136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повышение контроля со стороны руководства.</w:t>
            </w:r>
          </w:p>
        </w:tc>
      </w:tr>
      <w:tr w:rsidR="00526491" w:rsidRPr="00C058AC" w:rsidTr="004E5BED">
        <w:tc>
          <w:tcPr>
            <w:tcW w:w="621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29" w:type="dxa"/>
          </w:tcPr>
          <w:p w:rsidR="00C058AC" w:rsidRPr="00C058AC" w:rsidRDefault="00C058AC" w:rsidP="00C058AC">
            <w:pPr>
              <w:pStyle w:val="1"/>
              <w:keepNext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overflowPunct w:val="0"/>
              <w:spacing w:after="0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внесение заведомо ложных сведений в процессуальные документы при производстве административного дела;</w:t>
            </w:r>
          </w:p>
          <w:p w:rsidR="00C058AC" w:rsidRPr="00C058AC" w:rsidRDefault="00C058AC" w:rsidP="00C058AC">
            <w:pPr>
              <w:pStyle w:val="1"/>
              <w:keepNext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overflowPunct w:val="0"/>
              <w:spacing w:after="0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составление протокола (предостережения) на заведомо неуполномоченного представителя юридического лица (индивидуального предпринимателя);</w:t>
            </w:r>
          </w:p>
          <w:p w:rsidR="00C058AC" w:rsidRPr="00C058AC" w:rsidRDefault="00C058AC" w:rsidP="00C058AC">
            <w:pPr>
              <w:pStyle w:val="1"/>
              <w:keepNext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overflowPunct w:val="0"/>
              <w:spacing w:after="0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направление протокола (предостережения) с нарушением установленного срока или не направление протокола (предостережения) в целях последующей их отмены .</w:t>
            </w:r>
          </w:p>
        </w:tc>
        <w:tc>
          <w:tcPr>
            <w:tcW w:w="2563" w:type="dxa"/>
          </w:tcPr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внесение изменений в должностные регламенты в части требований о знании и изучении антимонопольного законодательства и КоАП РФ;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мониторинг и анализ применения антимонопольного законодательства;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применение мер по недопущению конфликта интересов, согласованных действий, ущемляющих права хозяйствующих субъектов;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повышение уровня квалификации должностных лиц;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 xml:space="preserve">- контроль за соблюдением требований </w:t>
            </w:r>
            <w:r w:rsidRPr="00C058AC">
              <w:rPr>
                <w:sz w:val="24"/>
                <w:szCs w:val="24"/>
              </w:rPr>
              <w:lastRenderedPageBreak/>
              <w:t>установленных КоАП РФ;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мониторинг и анализ изменений КоАП РФ</w:t>
            </w:r>
          </w:p>
        </w:tc>
        <w:tc>
          <w:tcPr>
            <w:tcW w:w="3522" w:type="dxa"/>
          </w:tcPr>
          <w:p w:rsidR="00526491" w:rsidRDefault="00526491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</w:p>
          <w:p w:rsidR="00C058AC" w:rsidRPr="00C058AC" w:rsidRDefault="00526491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административной, правовой и кадровой</w:t>
            </w:r>
            <w:r w:rsidR="00C058AC" w:rsidRPr="00C058AC">
              <w:rPr>
                <w:sz w:val="24"/>
                <w:szCs w:val="24"/>
              </w:rPr>
              <w:t xml:space="preserve"> работы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tabs>
                <w:tab w:val="left" w:pos="240"/>
              </w:tabs>
              <w:overflowPunct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C058AC" w:rsidRPr="00C058AC" w:rsidRDefault="00C058AC" w:rsidP="00C058AC">
            <w:pPr>
              <w:pStyle w:val="1"/>
              <w:keepNext/>
              <w:shd w:val="clear" w:color="auto" w:fill="auto"/>
              <w:tabs>
                <w:tab w:val="left" w:pos="0"/>
                <w:tab w:val="left" w:pos="240"/>
                <w:tab w:val="left" w:pos="480"/>
              </w:tabs>
              <w:overflowPunct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058AC">
              <w:rPr>
                <w:sz w:val="24"/>
                <w:szCs w:val="24"/>
              </w:rPr>
              <w:t>постоянно</w:t>
            </w:r>
          </w:p>
        </w:tc>
        <w:tc>
          <w:tcPr>
            <w:tcW w:w="2510" w:type="dxa"/>
          </w:tcPr>
          <w:p w:rsidR="00C058AC" w:rsidRPr="00C058AC" w:rsidRDefault="00C058AC" w:rsidP="00C058AC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минимизация рисков нарушения  антимонопольного законодательства;</w:t>
            </w:r>
          </w:p>
          <w:p w:rsidR="00C058AC" w:rsidRPr="00C058AC" w:rsidRDefault="00C058AC" w:rsidP="00C058AC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C058AC" w:rsidRPr="00C058AC" w:rsidRDefault="00C058AC" w:rsidP="00C058AC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повышение контроля со стороны руководства</w:t>
            </w:r>
          </w:p>
        </w:tc>
      </w:tr>
      <w:tr w:rsidR="00526491" w:rsidRPr="00C058AC" w:rsidTr="004E5BED">
        <w:tc>
          <w:tcPr>
            <w:tcW w:w="621" w:type="dxa"/>
            <w:shd w:val="clear" w:color="auto" w:fill="auto"/>
            <w:tcMar>
              <w:left w:w="108" w:type="dxa"/>
            </w:tcMar>
            <w:vAlign w:val="center"/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полномочия (действия, административная процедура), реализация которого связана с рисками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структурных подразделений, при реализации полномочий которых возможно возникновение рисков</w:t>
            </w:r>
          </w:p>
        </w:tc>
        <w:tc>
          <w:tcPr>
            <w:tcW w:w="3522" w:type="dxa"/>
            <w:shd w:val="clear" w:color="auto" w:fill="auto"/>
            <w:tcMar>
              <w:left w:w="108" w:type="dxa"/>
            </w:tcMar>
            <w:vAlign w:val="center"/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(краткое описание)</w:t>
            </w:r>
          </w:p>
        </w:tc>
        <w:tc>
          <w:tcPr>
            <w:tcW w:w="3459" w:type="dxa"/>
            <w:shd w:val="clear" w:color="auto" w:fill="auto"/>
            <w:tcMar>
              <w:left w:w="108" w:type="dxa"/>
            </w:tcMar>
            <w:vAlign w:val="center"/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(условия) возникновения риска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  <w:vAlign w:val="center"/>
          </w:tcPr>
          <w:p w:rsidR="003544A9" w:rsidRPr="00C058AC" w:rsidRDefault="003544A9" w:rsidP="00CB5316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риска</w:t>
            </w:r>
          </w:p>
        </w:tc>
      </w:tr>
      <w:tr w:rsidR="00526491" w:rsidRPr="00C058AC" w:rsidTr="004E5BED">
        <w:tc>
          <w:tcPr>
            <w:tcW w:w="621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overflowPunct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закупок товаров, работ, услуг для государственных нужд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</w:tcPr>
          <w:p w:rsidR="003544A9" w:rsidRPr="00C058AC" w:rsidRDefault="00526491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544A9"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544A9"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3522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координация деятельности участников закупки;</w:t>
            </w:r>
          </w:p>
          <w:p w:rsidR="003544A9" w:rsidRPr="00C058AC" w:rsidRDefault="003544A9" w:rsidP="00C058AC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3544A9" w:rsidRPr="00C058AC" w:rsidRDefault="003544A9" w:rsidP="00C058AC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 w:rsidR="003544A9" w:rsidRPr="00C058AC" w:rsidRDefault="003544A9" w:rsidP="00C058AC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порядка определения победителя закупки;</w:t>
            </w:r>
          </w:p>
          <w:p w:rsidR="003544A9" w:rsidRPr="00C058AC" w:rsidRDefault="003544A9" w:rsidP="00C058AC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порядка определения начальной (максимальной) цены государственного контракта</w:t>
            </w:r>
          </w:p>
        </w:tc>
        <w:tc>
          <w:tcPr>
            <w:tcW w:w="3459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19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несоблюдение принципов открытости, прозрачности информации о контрактной системе в сфере закупок, обеспечения конкуренции, профессионализма заказчика;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240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нагрузка на сотрудников;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0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240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 вышестоящего руководства;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240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непринятие мер по исключению конфликта интересов;</w:t>
            </w:r>
          </w:p>
          <w:p w:rsidR="003544A9" w:rsidRPr="00C058AC" w:rsidRDefault="003544A9" w:rsidP="00C058AC">
            <w:pPr>
              <w:keepNext/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недостоверных сведений для определения начальной (максимальной) цены контракта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B5316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26491" w:rsidRPr="00C058AC" w:rsidTr="004E5BED">
        <w:tc>
          <w:tcPr>
            <w:tcW w:w="621" w:type="dxa"/>
            <w:shd w:val="clear" w:color="auto" w:fill="auto"/>
            <w:tcMar>
              <w:left w:w="108" w:type="dxa"/>
            </w:tcMar>
          </w:tcPr>
          <w:p w:rsidR="003544A9" w:rsidRPr="00C058AC" w:rsidRDefault="00CC1FCC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544A9"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НПА, регламентирующих взаимодействие (деятельность), права и интересы хозяйствующих субъектов в сферах деятельности Департамента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</w:tcPr>
          <w:p w:rsidR="00CC1FCC" w:rsidRPr="00C058AC" w:rsidRDefault="00CC1FCC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  <w:p w:rsidR="00CC1FCC" w:rsidRPr="00C058AC" w:rsidRDefault="00526491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 w:rsidR="00CC1FCC"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планирования и экономики</w:t>
            </w:r>
          </w:p>
          <w:p w:rsidR="00CC1FCC" w:rsidRPr="00C058AC" w:rsidRDefault="00526491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 w:rsidR="00CC1FCC"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CC1FCC"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закупок </w:t>
            </w:r>
          </w:p>
          <w:p w:rsidR="00CC1FCC" w:rsidRPr="00C058AC" w:rsidRDefault="00526491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CC1FCC"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медицинской помощи взрослому населению</w:t>
            </w:r>
          </w:p>
          <w:p w:rsidR="00CC1FCC" w:rsidRPr="00C058AC" w:rsidRDefault="00CC1FCC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44A9" w:rsidRDefault="00526491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 w:rsidR="00CC1FCC"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мед</w:t>
            </w:r>
            <w:r w:rsidR="00532CED">
              <w:rPr>
                <w:rFonts w:ascii="Times New Roman" w:eastAsia="Times New Roman" w:hAnsi="Times New Roman" w:cs="Times New Roman"/>
                <w:sz w:val="24"/>
                <w:szCs w:val="24"/>
              </w:rPr>
              <w:t>ицинской помощи детям и матерям</w:t>
            </w:r>
            <w:r w:rsidR="00CC1FCC"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16AB" w:rsidRPr="00C058AC" w:rsidRDefault="004816AB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лицензирования медицинской и фармацевтической деятельности</w:t>
            </w:r>
          </w:p>
          <w:p w:rsidR="003544A9" w:rsidRPr="00C058AC" w:rsidRDefault="003544A9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numPr>
                <w:ilvl w:val="0"/>
                <w:numId w:val="10"/>
              </w:numPr>
              <w:tabs>
                <w:tab w:val="left" w:pos="240"/>
              </w:tabs>
              <w:overflowPunct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дискриминационных или преимущественных условий для отдельных хозяйствующих субъектов;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10"/>
              </w:numPr>
              <w:tabs>
                <w:tab w:val="left" w:pos="240"/>
              </w:tabs>
              <w:overflowPunct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дополнительных (необоснованных) ограничений и требований для отдельных хозяйствующих субъектов;</w:t>
            </w:r>
          </w:p>
          <w:p w:rsidR="003544A9" w:rsidRPr="00C058AC" w:rsidRDefault="003544A9" w:rsidP="00C058AC">
            <w:pPr>
              <w:keepNext/>
              <w:tabs>
                <w:tab w:val="left" w:pos="240"/>
              </w:tabs>
              <w:overflowPunct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 специалистов необходимых и достаточных знаний в области нормотворческой деятельности;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сжатые сроки принятия НПА;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неприменение, ошибочное применение антимонопольного законодательства при подготовке НПА;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нагрузка на специалистов;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достаточного количества кадров;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неразмещение проекта НПА на официальном сайте Департамента для проведения анализа на предмет соответствия его антимонопольному законодательству;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недостаточный</w:t>
            </w: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уровень правовой экспертизы;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недостаточный уровень внутреннего контроля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C1FCC">
            <w:pPr>
              <w:keepNext/>
              <w:overflowPunct w:val="0"/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незначительный</w:t>
            </w:r>
          </w:p>
        </w:tc>
      </w:tr>
    </w:tbl>
    <w:p w:rsidR="008D4818" w:rsidRPr="00C058AC" w:rsidRDefault="008D4818" w:rsidP="008D4818">
      <w:pPr>
        <w:autoSpaceDE w:val="0"/>
        <w:autoSpaceDN w:val="0"/>
        <w:adjustRightInd w:val="0"/>
        <w:spacing w:after="0" w:line="240" w:lineRule="auto"/>
        <w:ind w:left="566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18" w:rsidRPr="00C058AC" w:rsidRDefault="008D4818" w:rsidP="008D4818">
      <w:pPr>
        <w:autoSpaceDE w:val="0"/>
        <w:autoSpaceDN w:val="0"/>
        <w:adjustRightInd w:val="0"/>
        <w:spacing w:after="0" w:line="240" w:lineRule="auto"/>
        <w:ind w:left="566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4818" w:rsidRPr="00C058AC" w:rsidSect="003544A9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AA3F0F"/>
    <w:multiLevelType w:val="singleLevel"/>
    <w:tmpl w:val="9CAA3F0F"/>
    <w:lvl w:ilvl="0">
      <w:start w:val="6"/>
      <w:numFmt w:val="decimal"/>
      <w:suff w:val="space"/>
      <w:lvlText w:val="%1."/>
      <w:lvlJc w:val="left"/>
    </w:lvl>
  </w:abstractNum>
  <w:abstractNum w:abstractNumId="1">
    <w:nsid w:val="02994902"/>
    <w:multiLevelType w:val="hybridMultilevel"/>
    <w:tmpl w:val="86C4A1BA"/>
    <w:lvl w:ilvl="0" w:tplc="12BAC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57A"/>
    <w:multiLevelType w:val="multilevel"/>
    <w:tmpl w:val="0B1B35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C29352B"/>
    <w:multiLevelType w:val="multilevel"/>
    <w:tmpl w:val="0C29352B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lowerLetter"/>
      <w:lvlText w:val="%2."/>
      <w:lvlJc w:val="left"/>
      <w:pPr>
        <w:ind w:left="9161" w:hanging="360"/>
      </w:pPr>
    </w:lvl>
    <w:lvl w:ilvl="2">
      <w:start w:val="1"/>
      <w:numFmt w:val="lowerRoman"/>
      <w:lvlText w:val="%3."/>
      <w:lvlJc w:val="right"/>
      <w:pPr>
        <w:ind w:left="9881" w:hanging="180"/>
      </w:pPr>
    </w:lvl>
    <w:lvl w:ilvl="3">
      <w:start w:val="1"/>
      <w:numFmt w:val="decimal"/>
      <w:lvlText w:val="%4."/>
      <w:lvlJc w:val="left"/>
      <w:pPr>
        <w:ind w:left="10601" w:hanging="360"/>
      </w:pPr>
    </w:lvl>
    <w:lvl w:ilvl="4">
      <w:start w:val="1"/>
      <w:numFmt w:val="lowerLetter"/>
      <w:lvlText w:val="%5."/>
      <w:lvlJc w:val="left"/>
      <w:pPr>
        <w:ind w:left="11321" w:hanging="360"/>
      </w:pPr>
    </w:lvl>
    <w:lvl w:ilvl="5">
      <w:start w:val="1"/>
      <w:numFmt w:val="lowerRoman"/>
      <w:lvlText w:val="%6."/>
      <w:lvlJc w:val="right"/>
      <w:pPr>
        <w:ind w:left="12041" w:hanging="180"/>
      </w:pPr>
    </w:lvl>
    <w:lvl w:ilvl="6">
      <w:start w:val="1"/>
      <w:numFmt w:val="decimal"/>
      <w:lvlText w:val="%7."/>
      <w:lvlJc w:val="left"/>
      <w:pPr>
        <w:ind w:left="12761" w:hanging="360"/>
      </w:pPr>
    </w:lvl>
    <w:lvl w:ilvl="7">
      <w:start w:val="1"/>
      <w:numFmt w:val="lowerLetter"/>
      <w:lvlText w:val="%8."/>
      <w:lvlJc w:val="left"/>
      <w:pPr>
        <w:ind w:left="13481" w:hanging="360"/>
      </w:pPr>
    </w:lvl>
    <w:lvl w:ilvl="8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0FF4316B"/>
    <w:multiLevelType w:val="multilevel"/>
    <w:tmpl w:val="0FF4316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1E2B0285"/>
    <w:multiLevelType w:val="multilevel"/>
    <w:tmpl w:val="1E2B028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2B5D5137"/>
    <w:multiLevelType w:val="hybridMultilevel"/>
    <w:tmpl w:val="44B66B7A"/>
    <w:lvl w:ilvl="0" w:tplc="63C02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F3045EA"/>
    <w:multiLevelType w:val="multilevel"/>
    <w:tmpl w:val="3F3045E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2A20CA4"/>
    <w:multiLevelType w:val="multilevel"/>
    <w:tmpl w:val="42A20C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>
    <w:nsid w:val="5E471EBD"/>
    <w:multiLevelType w:val="multilevel"/>
    <w:tmpl w:val="5E471EBD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2">
    <w:nsid w:val="6225ADE2"/>
    <w:multiLevelType w:val="singleLevel"/>
    <w:tmpl w:val="6225ADE2"/>
    <w:lvl w:ilvl="0">
      <w:start w:val="1"/>
      <w:numFmt w:val="decimal"/>
      <w:suff w:val="space"/>
      <w:lvlText w:val="%1."/>
      <w:lvlJc w:val="left"/>
    </w:lvl>
  </w:abstractNum>
  <w:abstractNum w:abstractNumId="13">
    <w:nsid w:val="6E283AF0"/>
    <w:multiLevelType w:val="multilevel"/>
    <w:tmpl w:val="6E283A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5D"/>
    <w:rsid w:val="000D633B"/>
    <w:rsid w:val="00127A18"/>
    <w:rsid w:val="00204206"/>
    <w:rsid w:val="00267081"/>
    <w:rsid w:val="0029081B"/>
    <w:rsid w:val="003544A9"/>
    <w:rsid w:val="003A73B1"/>
    <w:rsid w:val="003C2CCE"/>
    <w:rsid w:val="0044417A"/>
    <w:rsid w:val="00456877"/>
    <w:rsid w:val="004816AB"/>
    <w:rsid w:val="004E5BED"/>
    <w:rsid w:val="00526491"/>
    <w:rsid w:val="00532CED"/>
    <w:rsid w:val="005F5600"/>
    <w:rsid w:val="006D1A56"/>
    <w:rsid w:val="006E187B"/>
    <w:rsid w:val="007704ED"/>
    <w:rsid w:val="0085455A"/>
    <w:rsid w:val="0086796F"/>
    <w:rsid w:val="008D4818"/>
    <w:rsid w:val="00926D73"/>
    <w:rsid w:val="009C440B"/>
    <w:rsid w:val="009F5CC7"/>
    <w:rsid w:val="00A86CE1"/>
    <w:rsid w:val="00B54B5D"/>
    <w:rsid w:val="00C058AC"/>
    <w:rsid w:val="00C10427"/>
    <w:rsid w:val="00C35B0E"/>
    <w:rsid w:val="00CB5316"/>
    <w:rsid w:val="00CC1FCC"/>
    <w:rsid w:val="00CC2CCA"/>
    <w:rsid w:val="00D41DFB"/>
    <w:rsid w:val="00F2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481B4-5669-4A18-8393-088F9006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4818"/>
    <w:pPr>
      <w:ind w:left="720"/>
      <w:contextualSpacing/>
    </w:pPr>
  </w:style>
  <w:style w:type="table" w:styleId="a6">
    <w:name w:val="Table Grid"/>
    <w:basedOn w:val="a1"/>
    <w:qFormat/>
    <w:rsid w:val="003544A9"/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qFormat/>
    <w:rsid w:val="00C058AC"/>
    <w:pPr>
      <w:shd w:val="clear" w:color="auto" w:fill="FFFFFF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org3</cp:lastModifiedBy>
  <cp:revision>3</cp:revision>
  <cp:lastPrinted>2020-02-17T03:08:00Z</cp:lastPrinted>
  <dcterms:created xsi:type="dcterms:W3CDTF">2021-04-06T05:10:00Z</dcterms:created>
  <dcterms:modified xsi:type="dcterms:W3CDTF">2021-04-06T05:13:00Z</dcterms:modified>
</cp:coreProperties>
</file>