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AD" w:rsidRPr="00E630AD" w:rsidRDefault="00E630AD" w:rsidP="00E630AD">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53085" cy="701675"/>
            <wp:effectExtent l="0" t="0" r="0" b="317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85" cy="701675"/>
                    </a:xfrm>
                    <a:prstGeom prst="rect">
                      <a:avLst/>
                    </a:prstGeom>
                    <a:noFill/>
                    <a:ln>
                      <a:noFill/>
                    </a:ln>
                  </pic:spPr>
                </pic:pic>
              </a:graphicData>
            </a:graphic>
          </wp:inline>
        </w:drawing>
      </w:r>
    </w:p>
    <w:p w:rsidR="00E630AD" w:rsidRPr="00E630AD" w:rsidRDefault="00E630AD" w:rsidP="00E630AD">
      <w:pPr>
        <w:spacing w:after="0" w:line="240" w:lineRule="auto"/>
        <w:jc w:val="center"/>
        <w:rPr>
          <w:rFonts w:ascii="Times New Roman" w:hAnsi="Times New Roman"/>
          <w:sz w:val="24"/>
          <w:szCs w:val="24"/>
        </w:rPr>
      </w:pPr>
    </w:p>
    <w:p w:rsidR="00E630AD" w:rsidRPr="00E630AD" w:rsidRDefault="00D91A88" w:rsidP="00E630AD">
      <w:pPr>
        <w:keepNext/>
        <w:spacing w:after="0" w:line="240" w:lineRule="auto"/>
        <w:jc w:val="center"/>
        <w:outlineLvl w:val="0"/>
        <w:rPr>
          <w:rFonts w:ascii="Times New Roman" w:hAnsi="Times New Roman"/>
          <w:b/>
          <w:bCs/>
          <w:sz w:val="24"/>
          <w:szCs w:val="24"/>
        </w:rPr>
      </w:pPr>
      <w:r>
        <w:rPr>
          <w:rFonts w:ascii="Times New Roman" w:hAnsi="Times New Roman"/>
          <w:b/>
          <w:bCs/>
          <w:sz w:val="24"/>
          <w:szCs w:val="24"/>
        </w:rPr>
        <w:t>ДЕПАРТАМЕНТ КУЛЬТУРЫ И ТУРИЗМА</w:t>
      </w:r>
    </w:p>
    <w:p w:rsidR="00E630AD" w:rsidRPr="00E630AD" w:rsidRDefault="00E630AD" w:rsidP="00E630AD">
      <w:pPr>
        <w:spacing w:after="0" w:line="240" w:lineRule="auto"/>
        <w:jc w:val="center"/>
        <w:rPr>
          <w:rFonts w:ascii="Times New Roman" w:hAnsi="Times New Roman"/>
          <w:b/>
          <w:sz w:val="20"/>
          <w:szCs w:val="24"/>
        </w:rPr>
      </w:pPr>
      <w:r w:rsidRPr="00E630AD">
        <w:rPr>
          <w:rFonts w:ascii="Times New Roman" w:hAnsi="Times New Roman"/>
          <w:b/>
          <w:sz w:val="24"/>
          <w:szCs w:val="24"/>
        </w:rPr>
        <w:t>ЧУКОТСКОГО АВТОНОМНОГО ОКРУГА</w:t>
      </w:r>
    </w:p>
    <w:p w:rsidR="00E630AD" w:rsidRPr="00E630AD" w:rsidRDefault="00E630AD" w:rsidP="00E630AD">
      <w:pPr>
        <w:spacing w:after="0" w:line="240" w:lineRule="auto"/>
        <w:jc w:val="center"/>
        <w:rPr>
          <w:rFonts w:ascii="Times New Roman" w:hAnsi="Times New Roman"/>
          <w:b/>
          <w:bCs/>
          <w:sz w:val="16"/>
          <w:szCs w:val="16"/>
        </w:rPr>
      </w:pPr>
    </w:p>
    <w:p w:rsidR="00114C53" w:rsidRPr="00011503" w:rsidRDefault="00114C53" w:rsidP="005501FD">
      <w:pPr>
        <w:spacing w:after="0" w:line="240" w:lineRule="auto"/>
        <w:jc w:val="center"/>
        <w:rPr>
          <w:rFonts w:ascii="Times New Roman" w:hAnsi="Times New Roman"/>
          <w:b/>
          <w:sz w:val="26"/>
        </w:rPr>
      </w:pPr>
      <w:r w:rsidRPr="00011503">
        <w:rPr>
          <w:rFonts w:ascii="Times New Roman" w:hAnsi="Times New Roman"/>
          <w:b/>
          <w:sz w:val="26"/>
        </w:rPr>
        <w:t>П Р И К А З</w:t>
      </w:r>
    </w:p>
    <w:p w:rsidR="00114C53" w:rsidRDefault="00114C53" w:rsidP="005501FD">
      <w:pPr>
        <w:spacing w:after="0" w:line="240" w:lineRule="auto"/>
        <w:rPr>
          <w:rFonts w:ascii="Times New Roman" w:hAnsi="Times New Roman"/>
          <w:sz w:val="26"/>
        </w:rPr>
      </w:pPr>
    </w:p>
    <w:p w:rsidR="00C41F3C" w:rsidRPr="00011503" w:rsidRDefault="00C41F3C" w:rsidP="005501FD">
      <w:pPr>
        <w:spacing w:after="0" w:line="240" w:lineRule="auto"/>
        <w:rPr>
          <w:rFonts w:ascii="Times New Roman" w:hAnsi="Times New Roman"/>
          <w:sz w:val="26"/>
        </w:rPr>
      </w:pPr>
    </w:p>
    <w:tbl>
      <w:tblPr>
        <w:tblW w:w="9760" w:type="dxa"/>
        <w:tblInd w:w="98" w:type="dxa"/>
        <w:tblCellMar>
          <w:left w:w="10" w:type="dxa"/>
          <w:right w:w="10" w:type="dxa"/>
        </w:tblCellMar>
        <w:tblLook w:val="00A0" w:firstRow="1" w:lastRow="0" w:firstColumn="1" w:lastColumn="0" w:noHBand="0" w:noVBand="0"/>
      </w:tblPr>
      <w:tblGrid>
        <w:gridCol w:w="536"/>
        <w:gridCol w:w="2585"/>
        <w:gridCol w:w="489"/>
        <w:gridCol w:w="536"/>
        <w:gridCol w:w="1804"/>
        <w:gridCol w:w="3810"/>
      </w:tblGrid>
      <w:tr w:rsidR="00114C53" w:rsidRPr="00011503" w:rsidTr="004B19F5">
        <w:trPr>
          <w:trHeight w:val="1"/>
        </w:trPr>
        <w:tc>
          <w:tcPr>
            <w:tcW w:w="536" w:type="dxa"/>
            <w:shd w:val="clear" w:color="000000" w:fill="FFFFFF"/>
            <w:tcMar>
              <w:left w:w="108" w:type="dxa"/>
              <w:right w:w="108" w:type="dxa"/>
            </w:tcMar>
            <w:vAlign w:val="center"/>
          </w:tcPr>
          <w:p w:rsidR="00114C53" w:rsidRPr="00011503" w:rsidRDefault="00114C53" w:rsidP="001448E6">
            <w:pPr>
              <w:tabs>
                <w:tab w:val="left" w:pos="4153"/>
                <w:tab w:val="left" w:pos="8306"/>
              </w:tabs>
              <w:spacing w:after="0" w:line="240" w:lineRule="auto"/>
              <w:rPr>
                <w:rFonts w:ascii="Times New Roman" w:hAnsi="Times New Roman"/>
              </w:rPr>
            </w:pPr>
            <w:r w:rsidRPr="00011503">
              <w:rPr>
                <w:rFonts w:ascii="Times New Roman" w:hAnsi="Times New Roman"/>
                <w:b/>
                <w:sz w:val="26"/>
              </w:rPr>
              <w:t>от</w:t>
            </w:r>
          </w:p>
        </w:tc>
        <w:tc>
          <w:tcPr>
            <w:tcW w:w="2585" w:type="dxa"/>
            <w:shd w:val="clear" w:color="000000" w:fill="FFFFFF"/>
            <w:tcMar>
              <w:left w:w="108" w:type="dxa"/>
              <w:right w:w="108" w:type="dxa"/>
            </w:tcMar>
            <w:vAlign w:val="center"/>
          </w:tcPr>
          <w:p w:rsidR="00114C53" w:rsidRPr="00467291" w:rsidRDefault="00BD7C6D" w:rsidP="00BD7C6D">
            <w:pPr>
              <w:tabs>
                <w:tab w:val="left" w:pos="4153"/>
                <w:tab w:val="left" w:pos="8306"/>
              </w:tabs>
              <w:spacing w:after="0" w:line="240" w:lineRule="auto"/>
              <w:rPr>
                <w:rFonts w:ascii="Times New Roman" w:hAnsi="Times New Roman"/>
              </w:rPr>
            </w:pPr>
            <w:r>
              <w:rPr>
                <w:rFonts w:ascii="Times New Roman" w:hAnsi="Times New Roman"/>
                <w:b/>
                <w:sz w:val="26"/>
              </w:rPr>
              <w:t>21</w:t>
            </w:r>
            <w:r w:rsidR="00EF7465">
              <w:rPr>
                <w:rFonts w:ascii="Times New Roman" w:hAnsi="Times New Roman"/>
                <w:b/>
                <w:sz w:val="26"/>
              </w:rPr>
              <w:t>.</w:t>
            </w:r>
            <w:r>
              <w:rPr>
                <w:rFonts w:ascii="Times New Roman" w:hAnsi="Times New Roman"/>
                <w:b/>
                <w:sz w:val="26"/>
              </w:rPr>
              <w:t>01</w:t>
            </w:r>
            <w:r w:rsidR="00187CD2">
              <w:rPr>
                <w:rFonts w:ascii="Times New Roman" w:hAnsi="Times New Roman"/>
                <w:b/>
                <w:sz w:val="26"/>
              </w:rPr>
              <w:t>.202</w:t>
            </w:r>
            <w:r>
              <w:rPr>
                <w:rFonts w:ascii="Times New Roman" w:hAnsi="Times New Roman"/>
                <w:b/>
                <w:sz w:val="26"/>
              </w:rPr>
              <w:t>5</w:t>
            </w:r>
            <w:r w:rsidR="00114C53" w:rsidRPr="00467291">
              <w:rPr>
                <w:rFonts w:ascii="Times New Roman" w:hAnsi="Times New Roman"/>
                <w:b/>
                <w:sz w:val="26"/>
              </w:rPr>
              <w:t xml:space="preserve"> г.</w:t>
            </w:r>
          </w:p>
        </w:tc>
        <w:tc>
          <w:tcPr>
            <w:tcW w:w="489" w:type="dxa"/>
            <w:shd w:val="clear" w:color="000000" w:fill="FFFFFF"/>
            <w:tcMar>
              <w:left w:w="108" w:type="dxa"/>
              <w:right w:w="108" w:type="dxa"/>
            </w:tcMar>
            <w:vAlign w:val="center"/>
          </w:tcPr>
          <w:p w:rsidR="00114C53" w:rsidRPr="00467291" w:rsidRDefault="00114C53" w:rsidP="001448E6">
            <w:pPr>
              <w:tabs>
                <w:tab w:val="left" w:pos="4153"/>
                <w:tab w:val="left" w:pos="8306"/>
              </w:tabs>
              <w:spacing w:after="0" w:line="240" w:lineRule="auto"/>
              <w:jc w:val="center"/>
              <w:rPr>
                <w:rFonts w:ascii="Times New Roman" w:hAnsi="Times New Roman"/>
              </w:rPr>
            </w:pPr>
          </w:p>
        </w:tc>
        <w:tc>
          <w:tcPr>
            <w:tcW w:w="536" w:type="dxa"/>
            <w:shd w:val="clear" w:color="000000" w:fill="FFFFFF"/>
            <w:tcMar>
              <w:left w:w="108" w:type="dxa"/>
              <w:right w:w="108" w:type="dxa"/>
            </w:tcMar>
            <w:vAlign w:val="center"/>
          </w:tcPr>
          <w:p w:rsidR="00114C53" w:rsidRPr="00467291" w:rsidRDefault="00114C53" w:rsidP="001448E6">
            <w:pPr>
              <w:tabs>
                <w:tab w:val="left" w:pos="4153"/>
                <w:tab w:val="left" w:pos="8306"/>
              </w:tabs>
              <w:spacing w:after="0" w:line="240" w:lineRule="auto"/>
              <w:jc w:val="center"/>
              <w:rPr>
                <w:rFonts w:ascii="Times New Roman" w:hAnsi="Times New Roman"/>
              </w:rPr>
            </w:pPr>
            <w:r w:rsidRPr="00467291">
              <w:rPr>
                <w:rFonts w:ascii="Times New Roman" w:hAnsi="Times New Roman"/>
                <w:b/>
                <w:sz w:val="26"/>
              </w:rPr>
              <w:t>№</w:t>
            </w:r>
          </w:p>
        </w:tc>
        <w:tc>
          <w:tcPr>
            <w:tcW w:w="1804" w:type="dxa"/>
            <w:shd w:val="clear" w:color="000000" w:fill="FFFFFF"/>
            <w:tcMar>
              <w:left w:w="108" w:type="dxa"/>
              <w:right w:w="108" w:type="dxa"/>
            </w:tcMar>
            <w:vAlign w:val="center"/>
          </w:tcPr>
          <w:p w:rsidR="00114C53" w:rsidRPr="00467291" w:rsidRDefault="00FD2F71" w:rsidP="003B7E9B">
            <w:pPr>
              <w:tabs>
                <w:tab w:val="left" w:pos="4153"/>
                <w:tab w:val="left" w:pos="8306"/>
              </w:tabs>
              <w:spacing w:after="0" w:line="240" w:lineRule="auto"/>
              <w:jc w:val="both"/>
              <w:rPr>
                <w:rFonts w:ascii="Times New Roman" w:hAnsi="Times New Roman"/>
              </w:rPr>
            </w:pPr>
            <w:r w:rsidRPr="00467291">
              <w:rPr>
                <w:rFonts w:ascii="Times New Roman" w:hAnsi="Times New Roman"/>
                <w:b/>
                <w:sz w:val="26"/>
              </w:rPr>
              <w:t>01-1</w:t>
            </w:r>
            <w:r w:rsidR="006C3BF2" w:rsidRPr="00467291">
              <w:rPr>
                <w:rFonts w:ascii="Times New Roman" w:hAnsi="Times New Roman"/>
                <w:b/>
                <w:sz w:val="26"/>
              </w:rPr>
              <w:t>0</w:t>
            </w:r>
            <w:r w:rsidRPr="00467291">
              <w:rPr>
                <w:rFonts w:ascii="Times New Roman" w:hAnsi="Times New Roman"/>
                <w:b/>
                <w:sz w:val="26"/>
              </w:rPr>
              <w:t>/</w:t>
            </w:r>
            <w:r w:rsidR="003B7E9B">
              <w:rPr>
                <w:rFonts w:ascii="Times New Roman" w:hAnsi="Times New Roman"/>
                <w:b/>
                <w:sz w:val="26"/>
              </w:rPr>
              <w:t>12</w:t>
            </w:r>
          </w:p>
        </w:tc>
        <w:tc>
          <w:tcPr>
            <w:tcW w:w="3810" w:type="dxa"/>
            <w:shd w:val="clear" w:color="000000" w:fill="FFFFFF"/>
            <w:tcMar>
              <w:left w:w="108" w:type="dxa"/>
              <w:right w:w="108" w:type="dxa"/>
            </w:tcMar>
            <w:vAlign w:val="center"/>
          </w:tcPr>
          <w:p w:rsidR="00114C53" w:rsidRPr="00011503" w:rsidRDefault="00114C53" w:rsidP="001448E6">
            <w:pPr>
              <w:tabs>
                <w:tab w:val="left" w:pos="4153"/>
                <w:tab w:val="left" w:pos="8306"/>
              </w:tabs>
              <w:spacing w:after="0" w:line="240" w:lineRule="auto"/>
              <w:jc w:val="right"/>
              <w:rPr>
                <w:rFonts w:ascii="Times New Roman" w:hAnsi="Times New Roman"/>
              </w:rPr>
            </w:pPr>
            <w:r w:rsidRPr="00011503">
              <w:rPr>
                <w:rFonts w:ascii="Times New Roman" w:hAnsi="Times New Roman"/>
                <w:b/>
                <w:sz w:val="26"/>
              </w:rPr>
              <w:t>г. Анадырь</w:t>
            </w:r>
          </w:p>
        </w:tc>
      </w:tr>
    </w:tbl>
    <w:p w:rsidR="00114C53" w:rsidRDefault="00114C53" w:rsidP="005501FD">
      <w:pPr>
        <w:spacing w:after="0" w:line="240" w:lineRule="auto"/>
        <w:jc w:val="both"/>
        <w:rPr>
          <w:rFonts w:ascii="Times New Roman" w:hAnsi="Times New Roman"/>
          <w:sz w:val="25"/>
        </w:rPr>
      </w:pPr>
    </w:p>
    <w:p w:rsidR="00C41F3C" w:rsidRPr="00011503" w:rsidRDefault="00C41F3C" w:rsidP="005501FD">
      <w:pPr>
        <w:spacing w:after="0" w:line="240" w:lineRule="auto"/>
        <w:jc w:val="both"/>
        <w:rPr>
          <w:rFonts w:ascii="Times New Roman" w:hAnsi="Times New Roman"/>
          <w:sz w:val="25"/>
        </w:rPr>
      </w:pPr>
    </w:p>
    <w:tbl>
      <w:tblPr>
        <w:tblW w:w="0" w:type="auto"/>
        <w:tblInd w:w="98" w:type="dxa"/>
        <w:tblCellMar>
          <w:left w:w="10" w:type="dxa"/>
          <w:right w:w="10" w:type="dxa"/>
        </w:tblCellMar>
        <w:tblLook w:val="00A0" w:firstRow="1" w:lastRow="0" w:firstColumn="1" w:lastColumn="0" w:noHBand="0" w:noVBand="0"/>
      </w:tblPr>
      <w:tblGrid>
        <w:gridCol w:w="5113"/>
      </w:tblGrid>
      <w:tr w:rsidR="00114C53" w:rsidRPr="00D26060" w:rsidTr="001448E6">
        <w:trPr>
          <w:trHeight w:val="1"/>
        </w:trPr>
        <w:tc>
          <w:tcPr>
            <w:tcW w:w="5113" w:type="dxa"/>
            <w:shd w:val="clear" w:color="000000" w:fill="FFFFFF"/>
            <w:tcMar>
              <w:left w:w="108" w:type="dxa"/>
              <w:right w:w="108" w:type="dxa"/>
            </w:tcMar>
          </w:tcPr>
          <w:p w:rsidR="00114C53" w:rsidRPr="00D26060" w:rsidRDefault="00D26060" w:rsidP="003A4A36">
            <w:pPr>
              <w:spacing w:after="0" w:line="240" w:lineRule="auto"/>
              <w:jc w:val="both"/>
              <w:rPr>
                <w:rFonts w:ascii="Times New Roman" w:hAnsi="Times New Roman"/>
                <w:sz w:val="26"/>
                <w:szCs w:val="26"/>
              </w:rPr>
            </w:pPr>
            <w:r w:rsidRPr="00D26060">
              <w:rPr>
                <w:rFonts w:ascii="Times New Roman" w:hAnsi="Times New Roman"/>
                <w:sz w:val="26"/>
                <w:szCs w:val="26"/>
              </w:rPr>
              <w:t xml:space="preserve">Об утверждении </w:t>
            </w:r>
            <w:r w:rsidR="00187CD2" w:rsidRPr="00187CD2">
              <w:rPr>
                <w:rFonts w:ascii="Times New Roman" w:eastAsia="Arial Unicode MS" w:hAnsi="Times New Roman"/>
                <w:sz w:val="26"/>
                <w:szCs w:val="26"/>
              </w:rPr>
              <w:t xml:space="preserve">ключевых показателей эффективности функционирования антимонопольного комплаенса </w:t>
            </w:r>
            <w:r w:rsidR="00187CD2">
              <w:rPr>
                <w:rFonts w:ascii="Times New Roman" w:eastAsia="Arial Unicode MS" w:hAnsi="Times New Roman"/>
                <w:sz w:val="26"/>
                <w:szCs w:val="26"/>
              </w:rPr>
              <w:t xml:space="preserve">и </w:t>
            </w:r>
            <w:r w:rsidRPr="00D26060">
              <w:rPr>
                <w:rFonts w:ascii="Times New Roman" w:hAnsi="Times New Roman"/>
                <w:sz w:val="26"/>
                <w:szCs w:val="26"/>
              </w:rPr>
              <w:t xml:space="preserve">Методики расчета ключевых показателей эффективности функционирования в </w:t>
            </w:r>
            <w:r w:rsidR="00D91A88">
              <w:rPr>
                <w:rFonts w:ascii="Times New Roman" w:hAnsi="Times New Roman"/>
                <w:sz w:val="26"/>
                <w:szCs w:val="26"/>
              </w:rPr>
              <w:t>Департаменте культуры и туризма</w:t>
            </w:r>
            <w:r w:rsidR="00B06929">
              <w:rPr>
                <w:rFonts w:ascii="Times New Roman" w:hAnsi="Times New Roman"/>
                <w:sz w:val="26"/>
                <w:szCs w:val="26"/>
              </w:rPr>
              <w:t xml:space="preserve"> Чукотского автономного округа</w:t>
            </w:r>
            <w:r w:rsidRPr="00D26060">
              <w:rPr>
                <w:rFonts w:ascii="Times New Roman" w:hAnsi="Times New Roman"/>
                <w:sz w:val="26"/>
                <w:szCs w:val="26"/>
              </w:rPr>
              <w:t xml:space="preserve"> антимонопольного комплаенса</w:t>
            </w:r>
            <w:r w:rsidR="0063084C">
              <w:rPr>
                <w:rFonts w:ascii="Times New Roman" w:hAnsi="Times New Roman"/>
                <w:sz w:val="26"/>
                <w:szCs w:val="26"/>
              </w:rPr>
              <w:t xml:space="preserve"> на 202</w:t>
            </w:r>
            <w:r w:rsidR="003A4A36">
              <w:rPr>
                <w:rFonts w:ascii="Times New Roman" w:hAnsi="Times New Roman"/>
                <w:sz w:val="26"/>
                <w:szCs w:val="26"/>
              </w:rPr>
              <w:t>5</w:t>
            </w:r>
            <w:r w:rsidR="0063084C">
              <w:rPr>
                <w:rFonts w:ascii="Times New Roman" w:hAnsi="Times New Roman"/>
                <w:sz w:val="26"/>
                <w:szCs w:val="26"/>
              </w:rPr>
              <w:t xml:space="preserve"> год</w:t>
            </w:r>
          </w:p>
        </w:tc>
      </w:tr>
    </w:tbl>
    <w:p w:rsidR="00114C53" w:rsidRDefault="00114C53" w:rsidP="005501FD">
      <w:pPr>
        <w:spacing w:after="0" w:line="240" w:lineRule="auto"/>
        <w:jc w:val="both"/>
        <w:rPr>
          <w:rFonts w:ascii="Times New Roman" w:hAnsi="Times New Roman"/>
          <w:sz w:val="26"/>
        </w:rPr>
      </w:pPr>
    </w:p>
    <w:p w:rsidR="00C41F3C" w:rsidRPr="00011503" w:rsidRDefault="00C41F3C" w:rsidP="005501FD">
      <w:pPr>
        <w:spacing w:after="0" w:line="240" w:lineRule="auto"/>
        <w:jc w:val="both"/>
        <w:rPr>
          <w:rFonts w:ascii="Times New Roman" w:hAnsi="Times New Roman"/>
          <w:sz w:val="26"/>
        </w:rPr>
      </w:pPr>
    </w:p>
    <w:p w:rsidR="00114C53" w:rsidRPr="003B7E9B" w:rsidRDefault="00187CD2" w:rsidP="00B042CC">
      <w:pPr>
        <w:spacing w:after="0" w:line="240" w:lineRule="auto"/>
        <w:ind w:firstLine="709"/>
        <w:jc w:val="both"/>
        <w:rPr>
          <w:rFonts w:ascii="Times New Roman" w:hAnsi="Times New Roman"/>
          <w:sz w:val="28"/>
          <w:szCs w:val="28"/>
        </w:rPr>
      </w:pPr>
      <w:r w:rsidRPr="003B7E9B">
        <w:rPr>
          <w:rFonts w:ascii="Times New Roman" w:eastAsia="Arial Unicode MS" w:hAnsi="Times New Roman"/>
          <w:sz w:val="28"/>
          <w:szCs w:val="28"/>
        </w:rPr>
        <w:t xml:space="preserve">Во исполнение </w:t>
      </w:r>
      <w:hyperlink r:id="rId6" w:history="1">
        <w:r w:rsidRPr="003B7E9B">
          <w:rPr>
            <w:rFonts w:ascii="Times New Roman" w:eastAsia="StarSymbol" w:hAnsi="Times New Roman"/>
            <w:sz w:val="28"/>
            <w:szCs w:val="28"/>
          </w:rPr>
          <w:t>Указа</w:t>
        </w:r>
      </w:hyperlink>
      <w:r w:rsidRPr="003B7E9B">
        <w:rPr>
          <w:rFonts w:ascii="Times New Roman" w:eastAsia="Arial Unicode MS" w:hAnsi="Times New Roman"/>
          <w:sz w:val="28"/>
          <w:szCs w:val="28"/>
        </w:rPr>
        <w:t xml:space="preserve"> Президента Российской Федерации от 21 декабря 2017 года № 618 «Об основных направлениях государственной политики по развитию конкуренции», а так же в соответствии с </w:t>
      </w:r>
      <w:r w:rsidR="008D5E6C" w:rsidRPr="003B7E9B">
        <w:rPr>
          <w:rFonts w:ascii="Times New Roman" w:eastAsia="Arial Unicode MS" w:hAnsi="Times New Roman"/>
          <w:sz w:val="28"/>
          <w:szCs w:val="28"/>
        </w:rPr>
        <w:t>Положением о</w:t>
      </w:r>
      <w:r w:rsidR="008D5E6C" w:rsidRPr="003B7E9B">
        <w:rPr>
          <w:rFonts w:ascii="Times New Roman" w:hAnsi="Times New Roman"/>
          <w:sz w:val="28"/>
          <w:szCs w:val="28"/>
        </w:rPr>
        <w:t>б организации системы внутреннего обеспечения соответствия требованиям антимонопольного законодательства в Департаменте культуры и туризма  Чукотского автономного округа</w:t>
      </w:r>
      <w:r w:rsidRPr="003B7E9B">
        <w:rPr>
          <w:rFonts w:ascii="Times New Roman" w:eastAsia="Arial Unicode MS" w:hAnsi="Times New Roman"/>
          <w:sz w:val="28"/>
          <w:szCs w:val="28"/>
        </w:rPr>
        <w:t xml:space="preserve">, утвержденным приказом Департамента </w:t>
      </w:r>
      <w:r w:rsidR="008D5E6C" w:rsidRPr="003B7E9B">
        <w:rPr>
          <w:rFonts w:ascii="Times New Roman" w:eastAsia="Arial Unicode MS" w:hAnsi="Times New Roman"/>
          <w:sz w:val="28"/>
          <w:szCs w:val="28"/>
        </w:rPr>
        <w:t>культуры и туризма</w:t>
      </w:r>
      <w:r w:rsidRPr="003B7E9B">
        <w:rPr>
          <w:rFonts w:ascii="Times New Roman" w:eastAsia="Arial Unicode MS" w:hAnsi="Times New Roman"/>
          <w:sz w:val="28"/>
          <w:szCs w:val="28"/>
        </w:rPr>
        <w:t xml:space="preserve">  Чукотского автономного округа от </w:t>
      </w:r>
      <w:r w:rsidR="003B7E9B" w:rsidRPr="003B7E9B">
        <w:rPr>
          <w:rFonts w:ascii="Times New Roman" w:eastAsia="Arial Unicode MS" w:hAnsi="Times New Roman"/>
          <w:sz w:val="28"/>
          <w:szCs w:val="28"/>
        </w:rPr>
        <w:t>21</w:t>
      </w:r>
      <w:r w:rsidR="008D5E6C" w:rsidRPr="003B7E9B">
        <w:rPr>
          <w:rFonts w:ascii="Times New Roman" w:eastAsia="Arial Unicode MS" w:hAnsi="Times New Roman"/>
          <w:sz w:val="28"/>
          <w:szCs w:val="28"/>
        </w:rPr>
        <w:t>.</w:t>
      </w:r>
      <w:r w:rsidR="003B7E9B" w:rsidRPr="003B7E9B">
        <w:rPr>
          <w:rFonts w:ascii="Times New Roman" w:eastAsia="Arial Unicode MS" w:hAnsi="Times New Roman"/>
          <w:sz w:val="28"/>
          <w:szCs w:val="28"/>
        </w:rPr>
        <w:t>01</w:t>
      </w:r>
      <w:r w:rsidR="008D5E6C" w:rsidRPr="003B7E9B">
        <w:rPr>
          <w:rFonts w:ascii="Times New Roman" w:eastAsia="Arial Unicode MS" w:hAnsi="Times New Roman"/>
          <w:sz w:val="28"/>
          <w:szCs w:val="28"/>
        </w:rPr>
        <w:t>.202</w:t>
      </w:r>
      <w:r w:rsidR="003B7E9B" w:rsidRPr="003B7E9B">
        <w:rPr>
          <w:rFonts w:ascii="Times New Roman" w:eastAsia="Arial Unicode MS" w:hAnsi="Times New Roman"/>
          <w:sz w:val="28"/>
          <w:szCs w:val="28"/>
        </w:rPr>
        <w:t>5</w:t>
      </w:r>
      <w:r w:rsidR="008D5E6C" w:rsidRPr="003B7E9B">
        <w:rPr>
          <w:rFonts w:ascii="Times New Roman" w:eastAsia="Arial Unicode MS" w:hAnsi="Times New Roman"/>
          <w:sz w:val="28"/>
          <w:szCs w:val="28"/>
        </w:rPr>
        <w:t xml:space="preserve"> года № 01-10/</w:t>
      </w:r>
      <w:r w:rsidR="003B7E9B" w:rsidRPr="003B7E9B">
        <w:rPr>
          <w:rFonts w:ascii="Times New Roman" w:eastAsia="Arial Unicode MS" w:hAnsi="Times New Roman"/>
          <w:sz w:val="28"/>
          <w:szCs w:val="28"/>
        </w:rPr>
        <w:t>9</w:t>
      </w:r>
      <w:r w:rsidRPr="003B7E9B">
        <w:rPr>
          <w:rFonts w:ascii="Times New Roman" w:eastAsia="Arial Unicode MS" w:hAnsi="Times New Roman"/>
          <w:color w:val="FF0000"/>
          <w:sz w:val="28"/>
          <w:szCs w:val="28"/>
        </w:rPr>
        <w:t xml:space="preserve"> </w:t>
      </w:r>
      <w:r w:rsidRPr="003B7E9B">
        <w:rPr>
          <w:rFonts w:ascii="Times New Roman" w:eastAsia="Arial Unicode MS" w:hAnsi="Times New Roman"/>
          <w:sz w:val="28"/>
          <w:szCs w:val="28"/>
        </w:rPr>
        <w:t>(далее – Положение),</w:t>
      </w:r>
    </w:p>
    <w:p w:rsidR="00114C53" w:rsidRPr="003B7E9B" w:rsidRDefault="00114C53" w:rsidP="005501FD">
      <w:pPr>
        <w:spacing w:after="0" w:line="240" w:lineRule="auto"/>
        <w:jc w:val="both"/>
        <w:rPr>
          <w:rFonts w:ascii="Times New Roman" w:hAnsi="Times New Roman"/>
          <w:sz w:val="28"/>
          <w:szCs w:val="28"/>
        </w:rPr>
      </w:pPr>
    </w:p>
    <w:p w:rsidR="00114C53" w:rsidRPr="003B7E9B" w:rsidRDefault="00114C53" w:rsidP="005501FD">
      <w:pPr>
        <w:spacing w:after="0" w:line="240" w:lineRule="auto"/>
        <w:jc w:val="both"/>
        <w:rPr>
          <w:rFonts w:ascii="Times New Roman" w:hAnsi="Times New Roman"/>
          <w:b/>
          <w:sz w:val="28"/>
          <w:szCs w:val="28"/>
        </w:rPr>
      </w:pPr>
      <w:r w:rsidRPr="003B7E9B">
        <w:rPr>
          <w:rFonts w:ascii="Times New Roman" w:hAnsi="Times New Roman"/>
          <w:b/>
          <w:sz w:val="28"/>
          <w:szCs w:val="28"/>
        </w:rPr>
        <w:t>ПРИКАЗЫВАЮ:</w:t>
      </w:r>
    </w:p>
    <w:p w:rsidR="00114C53" w:rsidRPr="003B7E9B" w:rsidRDefault="00114C53" w:rsidP="005501FD">
      <w:pPr>
        <w:spacing w:after="0" w:line="240" w:lineRule="auto"/>
        <w:jc w:val="both"/>
        <w:rPr>
          <w:rFonts w:ascii="Times New Roman" w:hAnsi="Times New Roman"/>
          <w:sz w:val="28"/>
          <w:szCs w:val="28"/>
        </w:rPr>
      </w:pPr>
    </w:p>
    <w:p w:rsidR="003A41EE" w:rsidRPr="003B7E9B" w:rsidRDefault="003A41EE" w:rsidP="005501FD">
      <w:pPr>
        <w:spacing w:after="0" w:line="240" w:lineRule="auto"/>
        <w:jc w:val="both"/>
        <w:rPr>
          <w:rFonts w:ascii="Times New Roman" w:hAnsi="Times New Roman"/>
          <w:sz w:val="28"/>
          <w:szCs w:val="28"/>
        </w:rPr>
      </w:pPr>
    </w:p>
    <w:p w:rsidR="00886013" w:rsidRPr="003B7E9B" w:rsidRDefault="00114C53" w:rsidP="003A41EE">
      <w:pPr>
        <w:pStyle w:val="a8"/>
        <w:numPr>
          <w:ilvl w:val="0"/>
          <w:numId w:val="3"/>
        </w:numPr>
        <w:tabs>
          <w:tab w:val="left" w:pos="1134"/>
        </w:tabs>
        <w:spacing w:after="0" w:line="240" w:lineRule="auto"/>
        <w:ind w:left="0" w:firstLine="709"/>
        <w:jc w:val="both"/>
        <w:rPr>
          <w:rFonts w:ascii="Times New Roman" w:hAnsi="Times New Roman"/>
          <w:sz w:val="28"/>
          <w:szCs w:val="28"/>
        </w:rPr>
      </w:pPr>
      <w:r w:rsidRPr="003B7E9B">
        <w:rPr>
          <w:rFonts w:ascii="Times New Roman" w:hAnsi="Times New Roman"/>
          <w:sz w:val="28"/>
          <w:szCs w:val="28"/>
        </w:rPr>
        <w:t>Утвердить</w:t>
      </w:r>
      <w:r w:rsidR="00886013" w:rsidRPr="003B7E9B">
        <w:rPr>
          <w:rFonts w:ascii="Times New Roman" w:hAnsi="Times New Roman"/>
          <w:sz w:val="28"/>
          <w:szCs w:val="28"/>
        </w:rPr>
        <w:t>:</w:t>
      </w:r>
    </w:p>
    <w:p w:rsidR="00114C53" w:rsidRPr="003B7E9B" w:rsidRDefault="00B06929" w:rsidP="00992A5A">
      <w:pPr>
        <w:pStyle w:val="a8"/>
        <w:numPr>
          <w:ilvl w:val="1"/>
          <w:numId w:val="3"/>
        </w:numPr>
        <w:tabs>
          <w:tab w:val="left" w:pos="1134"/>
        </w:tabs>
        <w:spacing w:after="0" w:line="240" w:lineRule="auto"/>
        <w:ind w:left="0" w:firstLine="709"/>
        <w:jc w:val="both"/>
        <w:rPr>
          <w:rFonts w:ascii="Times New Roman" w:eastAsia="Arial Unicode MS" w:hAnsi="Times New Roman"/>
          <w:sz w:val="28"/>
          <w:szCs w:val="28"/>
        </w:rPr>
      </w:pPr>
      <w:r w:rsidRPr="003B7E9B">
        <w:rPr>
          <w:rFonts w:ascii="Times New Roman" w:hAnsi="Times New Roman"/>
          <w:sz w:val="28"/>
          <w:szCs w:val="28"/>
        </w:rPr>
        <w:t xml:space="preserve">Методику расчета ключевых показателей эффективности функционирования в </w:t>
      </w:r>
      <w:r w:rsidR="00D91A88" w:rsidRPr="003B7E9B">
        <w:rPr>
          <w:rFonts w:ascii="Times New Roman" w:hAnsi="Times New Roman"/>
          <w:sz w:val="28"/>
          <w:szCs w:val="28"/>
        </w:rPr>
        <w:t>Департаменте культуры и туризма</w:t>
      </w:r>
      <w:r w:rsidRPr="003B7E9B">
        <w:rPr>
          <w:rFonts w:ascii="Times New Roman" w:hAnsi="Times New Roman"/>
          <w:sz w:val="28"/>
          <w:szCs w:val="28"/>
        </w:rPr>
        <w:t xml:space="preserve"> Чукотского автономного округа антимонопольного комплаенса </w:t>
      </w:r>
      <w:r w:rsidR="00886013" w:rsidRPr="003B7E9B">
        <w:rPr>
          <w:rFonts w:ascii="Times New Roman" w:eastAsia="Arial Unicode MS" w:hAnsi="Times New Roman"/>
          <w:sz w:val="28"/>
          <w:szCs w:val="28"/>
        </w:rPr>
        <w:t>согласно приложению 1 к настоящему приказу;</w:t>
      </w:r>
    </w:p>
    <w:p w:rsidR="00886013" w:rsidRPr="003B7E9B" w:rsidRDefault="00992A5A" w:rsidP="00992A5A">
      <w:pPr>
        <w:pStyle w:val="a8"/>
        <w:numPr>
          <w:ilvl w:val="1"/>
          <w:numId w:val="3"/>
        </w:numPr>
        <w:tabs>
          <w:tab w:val="left" w:pos="1134"/>
        </w:tabs>
        <w:spacing w:after="0" w:line="240" w:lineRule="auto"/>
        <w:ind w:left="0" w:firstLine="709"/>
        <w:jc w:val="both"/>
        <w:rPr>
          <w:rFonts w:ascii="Times New Roman" w:hAnsi="Times New Roman"/>
          <w:sz w:val="28"/>
          <w:szCs w:val="28"/>
        </w:rPr>
      </w:pPr>
      <w:r w:rsidRPr="003B7E9B">
        <w:rPr>
          <w:rFonts w:ascii="Times New Roman" w:eastAsia="Arial Unicode MS" w:hAnsi="Times New Roman"/>
          <w:sz w:val="28"/>
          <w:szCs w:val="28"/>
        </w:rPr>
        <w:t xml:space="preserve">Ключевые показатели эффективности функционирования антимонопольного </w:t>
      </w:r>
      <w:proofErr w:type="spellStart"/>
      <w:r w:rsidRPr="003B7E9B">
        <w:rPr>
          <w:rFonts w:ascii="Times New Roman" w:eastAsia="Arial Unicode MS" w:hAnsi="Times New Roman"/>
          <w:sz w:val="28"/>
          <w:szCs w:val="28"/>
        </w:rPr>
        <w:t>комплаенса</w:t>
      </w:r>
      <w:proofErr w:type="spellEnd"/>
      <w:r w:rsidRPr="003B7E9B">
        <w:rPr>
          <w:rFonts w:ascii="Times New Roman" w:eastAsia="Arial Unicode MS" w:hAnsi="Times New Roman"/>
          <w:sz w:val="28"/>
          <w:szCs w:val="28"/>
        </w:rPr>
        <w:t xml:space="preserve"> в Департаменте культуры и туризма Чукотского автономного округа согласно приложению 2 к настоящему приказу.</w:t>
      </w:r>
    </w:p>
    <w:p w:rsidR="00D91A88" w:rsidRPr="003B7E9B" w:rsidRDefault="003A41EE" w:rsidP="003A4A36">
      <w:pPr>
        <w:pStyle w:val="a8"/>
        <w:numPr>
          <w:ilvl w:val="0"/>
          <w:numId w:val="3"/>
        </w:numPr>
        <w:spacing w:after="0" w:line="240" w:lineRule="auto"/>
        <w:ind w:left="0" w:firstLine="709"/>
        <w:jc w:val="both"/>
        <w:rPr>
          <w:rFonts w:ascii="Times New Roman" w:hAnsi="Times New Roman"/>
          <w:sz w:val="28"/>
          <w:szCs w:val="28"/>
        </w:rPr>
      </w:pPr>
      <w:r w:rsidRPr="003B7E9B">
        <w:rPr>
          <w:rFonts w:ascii="Times New Roman" w:hAnsi="Times New Roman"/>
          <w:sz w:val="28"/>
          <w:szCs w:val="28"/>
        </w:rPr>
        <w:t>Признать утратившим</w:t>
      </w:r>
      <w:r w:rsidR="00D91A88" w:rsidRPr="003B7E9B">
        <w:rPr>
          <w:rFonts w:ascii="Times New Roman" w:hAnsi="Times New Roman"/>
          <w:sz w:val="28"/>
          <w:szCs w:val="28"/>
        </w:rPr>
        <w:t xml:space="preserve"> силу приказ </w:t>
      </w:r>
      <w:r w:rsidR="00501464" w:rsidRPr="003B7E9B">
        <w:rPr>
          <w:rFonts w:ascii="Times New Roman" w:hAnsi="Times New Roman"/>
          <w:sz w:val="28"/>
          <w:szCs w:val="28"/>
        </w:rPr>
        <w:t>Департамента культуры, спорта и туризма</w:t>
      </w:r>
      <w:r w:rsidR="00D91A88" w:rsidRPr="003B7E9B">
        <w:rPr>
          <w:rFonts w:ascii="Times New Roman" w:hAnsi="Times New Roman"/>
          <w:sz w:val="28"/>
          <w:szCs w:val="28"/>
        </w:rPr>
        <w:t xml:space="preserve"> Чукотского автономного округа от </w:t>
      </w:r>
      <w:r w:rsidR="003A4A36" w:rsidRPr="003B7E9B">
        <w:rPr>
          <w:rFonts w:ascii="Times New Roman" w:hAnsi="Times New Roman"/>
          <w:sz w:val="28"/>
          <w:szCs w:val="28"/>
        </w:rPr>
        <w:t>29</w:t>
      </w:r>
      <w:r w:rsidR="0081569F" w:rsidRPr="003B7E9B">
        <w:rPr>
          <w:rFonts w:ascii="Times New Roman" w:hAnsi="Times New Roman"/>
          <w:sz w:val="28"/>
          <w:szCs w:val="28"/>
        </w:rPr>
        <w:t>.12</w:t>
      </w:r>
      <w:r w:rsidR="00EF7465" w:rsidRPr="003B7E9B">
        <w:rPr>
          <w:rFonts w:ascii="Times New Roman" w:hAnsi="Times New Roman"/>
          <w:sz w:val="28"/>
          <w:szCs w:val="28"/>
        </w:rPr>
        <w:t>.202</w:t>
      </w:r>
      <w:r w:rsidR="003A4A36" w:rsidRPr="003B7E9B">
        <w:rPr>
          <w:rFonts w:ascii="Times New Roman" w:hAnsi="Times New Roman"/>
          <w:sz w:val="28"/>
          <w:szCs w:val="28"/>
        </w:rPr>
        <w:t>3</w:t>
      </w:r>
      <w:r w:rsidR="00D91A88" w:rsidRPr="003B7E9B">
        <w:rPr>
          <w:rFonts w:ascii="Times New Roman" w:hAnsi="Times New Roman"/>
          <w:sz w:val="28"/>
          <w:szCs w:val="28"/>
        </w:rPr>
        <w:t>г.</w:t>
      </w:r>
      <w:r w:rsidR="00501464" w:rsidRPr="003B7E9B">
        <w:rPr>
          <w:rFonts w:ascii="Times New Roman" w:hAnsi="Times New Roman"/>
          <w:sz w:val="28"/>
          <w:szCs w:val="28"/>
        </w:rPr>
        <w:t xml:space="preserve"> №01-10/</w:t>
      </w:r>
      <w:r w:rsidR="003A4A36" w:rsidRPr="003B7E9B">
        <w:rPr>
          <w:rFonts w:ascii="Times New Roman" w:hAnsi="Times New Roman"/>
          <w:sz w:val="28"/>
          <w:szCs w:val="28"/>
        </w:rPr>
        <w:t>31</w:t>
      </w:r>
      <w:r w:rsidR="00D91A88" w:rsidRPr="003B7E9B">
        <w:rPr>
          <w:rFonts w:ascii="Times New Roman" w:hAnsi="Times New Roman"/>
          <w:sz w:val="28"/>
          <w:szCs w:val="28"/>
        </w:rPr>
        <w:t xml:space="preserve"> «</w:t>
      </w:r>
      <w:r w:rsidR="003A4A36" w:rsidRPr="003B7E9B">
        <w:rPr>
          <w:rFonts w:ascii="Times New Roman" w:hAnsi="Times New Roman"/>
          <w:sz w:val="28"/>
          <w:szCs w:val="28"/>
        </w:rPr>
        <w:t xml:space="preserve">Об утверждении ключевых показателей эффективности функционирования антимонопольного </w:t>
      </w:r>
      <w:proofErr w:type="spellStart"/>
      <w:r w:rsidR="003A4A36" w:rsidRPr="003B7E9B">
        <w:rPr>
          <w:rFonts w:ascii="Times New Roman" w:hAnsi="Times New Roman"/>
          <w:sz w:val="28"/>
          <w:szCs w:val="28"/>
        </w:rPr>
        <w:t>комплаенса</w:t>
      </w:r>
      <w:proofErr w:type="spellEnd"/>
      <w:r w:rsidR="003A4A36" w:rsidRPr="003B7E9B">
        <w:rPr>
          <w:rFonts w:ascii="Times New Roman" w:hAnsi="Times New Roman"/>
          <w:sz w:val="28"/>
          <w:szCs w:val="28"/>
        </w:rPr>
        <w:t xml:space="preserve"> и Методики расчета ключевых показателей эффективности функционирования в Департаменте культуры и туризма Чукотского автономного округа антимонопольного </w:t>
      </w:r>
      <w:proofErr w:type="spellStart"/>
      <w:r w:rsidR="003A4A36" w:rsidRPr="003B7E9B">
        <w:rPr>
          <w:rFonts w:ascii="Times New Roman" w:hAnsi="Times New Roman"/>
          <w:sz w:val="28"/>
          <w:szCs w:val="28"/>
        </w:rPr>
        <w:t>комплаенса</w:t>
      </w:r>
      <w:proofErr w:type="spellEnd"/>
      <w:r w:rsidR="003A4A36" w:rsidRPr="003B7E9B">
        <w:rPr>
          <w:rFonts w:ascii="Times New Roman" w:hAnsi="Times New Roman"/>
          <w:sz w:val="28"/>
          <w:szCs w:val="28"/>
        </w:rPr>
        <w:t xml:space="preserve"> на 2024 год</w:t>
      </w:r>
      <w:r w:rsidR="00D91A88" w:rsidRPr="003B7E9B">
        <w:rPr>
          <w:rFonts w:ascii="Times New Roman" w:hAnsi="Times New Roman"/>
          <w:sz w:val="28"/>
          <w:szCs w:val="28"/>
        </w:rPr>
        <w:t>»</w:t>
      </w:r>
      <w:r w:rsidRPr="003B7E9B">
        <w:rPr>
          <w:rFonts w:ascii="Times New Roman" w:hAnsi="Times New Roman"/>
          <w:sz w:val="28"/>
          <w:szCs w:val="28"/>
        </w:rPr>
        <w:t>.</w:t>
      </w:r>
    </w:p>
    <w:p w:rsidR="003A41EE" w:rsidRPr="003B7E9B" w:rsidRDefault="003B7E9B" w:rsidP="003A41EE">
      <w:pPr>
        <w:tabs>
          <w:tab w:val="left" w:pos="1134"/>
        </w:tabs>
        <w:spacing w:after="0" w:line="240" w:lineRule="auto"/>
        <w:ind w:firstLine="709"/>
        <w:jc w:val="both"/>
        <w:rPr>
          <w:rFonts w:ascii="Times New Roman" w:hAnsi="Times New Roman"/>
          <w:sz w:val="28"/>
          <w:szCs w:val="28"/>
        </w:rPr>
      </w:pPr>
      <w:r w:rsidRPr="003B7E9B">
        <w:rPr>
          <w:rFonts w:ascii="Times New Roman" w:hAnsi="Times New Roman"/>
          <w:sz w:val="28"/>
          <w:szCs w:val="28"/>
        </w:rPr>
        <w:lastRenderedPageBreak/>
        <w:t>3</w:t>
      </w:r>
      <w:r w:rsidR="003A41EE" w:rsidRPr="003B7E9B">
        <w:rPr>
          <w:rFonts w:ascii="Times New Roman" w:hAnsi="Times New Roman"/>
          <w:sz w:val="28"/>
          <w:szCs w:val="28"/>
        </w:rPr>
        <w:t>. Контроль за исполнением настоящего приказа оставляю за собой.</w:t>
      </w:r>
    </w:p>
    <w:p w:rsidR="00114C53" w:rsidRPr="00011503" w:rsidRDefault="00114C53" w:rsidP="005501FD">
      <w:pPr>
        <w:spacing w:after="0" w:line="240" w:lineRule="auto"/>
        <w:jc w:val="both"/>
        <w:rPr>
          <w:rFonts w:ascii="Times New Roman" w:hAnsi="Times New Roman"/>
          <w:sz w:val="26"/>
          <w:szCs w:val="26"/>
        </w:rPr>
      </w:pPr>
    </w:p>
    <w:p w:rsidR="00114C53" w:rsidRDefault="00114C53" w:rsidP="005501FD">
      <w:pPr>
        <w:spacing w:after="0" w:line="240" w:lineRule="auto"/>
        <w:jc w:val="both"/>
        <w:rPr>
          <w:rFonts w:ascii="Times New Roman" w:hAnsi="Times New Roman"/>
          <w:sz w:val="26"/>
        </w:rPr>
      </w:pPr>
    </w:p>
    <w:p w:rsidR="00811B1A" w:rsidRPr="00011503" w:rsidRDefault="00811B1A" w:rsidP="005501FD">
      <w:pPr>
        <w:spacing w:after="0" w:line="240" w:lineRule="auto"/>
        <w:jc w:val="both"/>
        <w:rPr>
          <w:rFonts w:ascii="Times New Roman" w:hAnsi="Times New Roman"/>
          <w:sz w:val="26"/>
        </w:rPr>
      </w:pPr>
    </w:p>
    <w:p w:rsidR="003A41EE" w:rsidRPr="003A41EE" w:rsidRDefault="00EF7465" w:rsidP="003A41EE">
      <w:pPr>
        <w:spacing w:after="0" w:line="240" w:lineRule="auto"/>
        <w:rPr>
          <w:rFonts w:ascii="Times New Roman" w:hAnsi="Times New Roman"/>
          <w:sz w:val="26"/>
          <w:szCs w:val="26"/>
        </w:rPr>
      </w:pPr>
      <w:r>
        <w:rPr>
          <w:rFonts w:ascii="Times New Roman" w:hAnsi="Times New Roman"/>
          <w:sz w:val="26"/>
          <w:szCs w:val="26"/>
        </w:rPr>
        <w:t>Н</w:t>
      </w:r>
      <w:r w:rsidR="003A41EE" w:rsidRPr="003A41EE">
        <w:rPr>
          <w:rFonts w:ascii="Times New Roman" w:hAnsi="Times New Roman"/>
          <w:sz w:val="26"/>
          <w:szCs w:val="26"/>
        </w:rPr>
        <w:t>ачальник</w:t>
      </w:r>
      <w:r>
        <w:rPr>
          <w:rFonts w:ascii="Times New Roman" w:hAnsi="Times New Roman"/>
          <w:sz w:val="26"/>
          <w:szCs w:val="26"/>
        </w:rPr>
        <w:t xml:space="preserve"> Департамента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501464">
        <w:rPr>
          <w:rFonts w:ascii="Times New Roman" w:hAnsi="Times New Roman"/>
          <w:sz w:val="26"/>
          <w:szCs w:val="26"/>
        </w:rPr>
        <w:t>Е.</w:t>
      </w:r>
      <w:r w:rsidR="00B5314A">
        <w:rPr>
          <w:rFonts w:ascii="Times New Roman" w:hAnsi="Times New Roman"/>
          <w:sz w:val="26"/>
          <w:szCs w:val="26"/>
        </w:rPr>
        <w:t>Г</w:t>
      </w:r>
      <w:r w:rsidR="00501464">
        <w:rPr>
          <w:rFonts w:ascii="Times New Roman" w:hAnsi="Times New Roman"/>
          <w:sz w:val="26"/>
          <w:szCs w:val="26"/>
        </w:rPr>
        <w:t xml:space="preserve">. </w:t>
      </w:r>
      <w:r w:rsidR="00B5314A">
        <w:rPr>
          <w:rFonts w:ascii="Times New Roman" w:hAnsi="Times New Roman"/>
          <w:sz w:val="26"/>
          <w:szCs w:val="26"/>
        </w:rPr>
        <w:t>Мартынюк</w:t>
      </w:r>
    </w:p>
    <w:p w:rsidR="003D6855" w:rsidRDefault="003D6855" w:rsidP="0006222C">
      <w:pPr>
        <w:spacing w:after="0" w:line="240" w:lineRule="auto"/>
        <w:rPr>
          <w:rFonts w:ascii="Times New Roman" w:hAnsi="Times New Roman"/>
          <w:sz w:val="26"/>
        </w:rPr>
      </w:pPr>
    </w:p>
    <w:p w:rsidR="003D6855" w:rsidRDefault="003D6855" w:rsidP="0006222C">
      <w:pPr>
        <w:spacing w:after="0" w:line="240" w:lineRule="auto"/>
        <w:rPr>
          <w:rFonts w:ascii="Times New Roman" w:hAnsi="Times New Roman"/>
          <w:sz w:val="26"/>
        </w:rPr>
      </w:pPr>
    </w:p>
    <w:p w:rsidR="003D6855" w:rsidRDefault="003D6855" w:rsidP="0006222C">
      <w:pPr>
        <w:spacing w:after="0" w:line="240" w:lineRule="auto"/>
        <w:rPr>
          <w:rFonts w:ascii="Times New Roman" w:hAnsi="Times New Roman"/>
          <w:sz w:val="26"/>
        </w:rPr>
      </w:pPr>
    </w:p>
    <w:p w:rsidR="003D6855" w:rsidRDefault="003D6855" w:rsidP="0006222C">
      <w:pPr>
        <w:spacing w:after="0" w:line="240" w:lineRule="auto"/>
        <w:rPr>
          <w:rFonts w:ascii="Times New Roman" w:hAnsi="Times New Roman"/>
          <w:sz w:val="26"/>
        </w:rPr>
      </w:pPr>
    </w:p>
    <w:p w:rsidR="003D6855" w:rsidRDefault="003D6855" w:rsidP="0006222C">
      <w:pPr>
        <w:spacing w:after="0" w:line="240" w:lineRule="auto"/>
        <w:rPr>
          <w:rFonts w:ascii="Times New Roman" w:hAnsi="Times New Roman"/>
          <w:sz w:val="26"/>
        </w:rPr>
      </w:pPr>
    </w:p>
    <w:p w:rsidR="003D6855" w:rsidRDefault="003D6855" w:rsidP="0006222C">
      <w:pPr>
        <w:spacing w:after="0" w:line="240" w:lineRule="auto"/>
        <w:rPr>
          <w:rFonts w:ascii="Times New Roman" w:hAnsi="Times New Roman"/>
          <w:sz w:val="26"/>
        </w:rPr>
      </w:pPr>
    </w:p>
    <w:p w:rsidR="00114C53" w:rsidRPr="00011503" w:rsidRDefault="00114C53" w:rsidP="0006222C">
      <w:pPr>
        <w:spacing w:after="0" w:line="240" w:lineRule="auto"/>
        <w:rPr>
          <w:rFonts w:ascii="Times New Roman" w:hAnsi="Times New Roman"/>
          <w:sz w:val="26"/>
        </w:rPr>
      </w:pPr>
      <w:r w:rsidRPr="00011503">
        <w:rPr>
          <w:rFonts w:ascii="Times New Roman" w:hAnsi="Times New Roman"/>
          <w:sz w:val="26"/>
        </w:rPr>
        <w:br w:type="page"/>
      </w:r>
    </w:p>
    <w:p w:rsidR="00114C53" w:rsidRPr="00011503" w:rsidRDefault="00114C53" w:rsidP="0006222C">
      <w:pPr>
        <w:spacing w:after="0" w:line="240" w:lineRule="auto"/>
        <w:rPr>
          <w:rFonts w:ascii="Times New Roman" w:hAnsi="Times New Roman"/>
          <w:sz w:val="26"/>
        </w:rPr>
      </w:pPr>
    </w:p>
    <w:tbl>
      <w:tblPr>
        <w:tblW w:w="9996" w:type="dxa"/>
        <w:tblLook w:val="00A0" w:firstRow="1" w:lastRow="0" w:firstColumn="1" w:lastColumn="0" w:noHBand="0" w:noVBand="0"/>
      </w:tblPr>
      <w:tblGrid>
        <w:gridCol w:w="5211"/>
        <w:gridCol w:w="4785"/>
      </w:tblGrid>
      <w:tr w:rsidR="00114C53" w:rsidRPr="00011503" w:rsidTr="001448E6">
        <w:tc>
          <w:tcPr>
            <w:tcW w:w="5211" w:type="dxa"/>
          </w:tcPr>
          <w:p w:rsidR="00114C53" w:rsidRPr="00011503" w:rsidRDefault="00114C53" w:rsidP="001448E6">
            <w:pPr>
              <w:spacing w:after="0" w:line="240" w:lineRule="auto"/>
              <w:jc w:val="center"/>
              <w:rPr>
                <w:rFonts w:ascii="Times New Roman" w:hAnsi="Times New Roman"/>
                <w:b/>
                <w:sz w:val="26"/>
                <w:szCs w:val="26"/>
              </w:rPr>
            </w:pPr>
          </w:p>
        </w:tc>
        <w:tc>
          <w:tcPr>
            <w:tcW w:w="4785" w:type="dxa"/>
          </w:tcPr>
          <w:p w:rsidR="00114C53" w:rsidRPr="00011503" w:rsidRDefault="00DA0C97" w:rsidP="001448E6">
            <w:pPr>
              <w:spacing w:after="0" w:line="240" w:lineRule="auto"/>
              <w:jc w:val="both"/>
              <w:rPr>
                <w:rFonts w:ascii="Times New Roman" w:hAnsi="Times New Roman"/>
                <w:sz w:val="26"/>
                <w:szCs w:val="26"/>
              </w:rPr>
            </w:pPr>
            <w:r>
              <w:rPr>
                <w:rFonts w:ascii="Times New Roman" w:hAnsi="Times New Roman"/>
                <w:sz w:val="26"/>
                <w:szCs w:val="26"/>
              </w:rPr>
              <w:t>Приложение</w:t>
            </w:r>
            <w:r w:rsidR="00C57DFC">
              <w:rPr>
                <w:rFonts w:ascii="Times New Roman" w:hAnsi="Times New Roman"/>
                <w:sz w:val="26"/>
                <w:szCs w:val="26"/>
              </w:rPr>
              <w:t xml:space="preserve"> 1</w:t>
            </w:r>
          </w:p>
          <w:p w:rsidR="00114C53" w:rsidRPr="00011503" w:rsidRDefault="00114C53" w:rsidP="001448E6">
            <w:pPr>
              <w:spacing w:after="0" w:line="240" w:lineRule="auto"/>
              <w:jc w:val="both"/>
              <w:rPr>
                <w:rFonts w:ascii="Times New Roman" w:hAnsi="Times New Roman"/>
                <w:sz w:val="26"/>
                <w:szCs w:val="26"/>
              </w:rPr>
            </w:pPr>
            <w:r w:rsidRPr="00011503">
              <w:rPr>
                <w:rFonts w:ascii="Times New Roman" w:hAnsi="Times New Roman"/>
                <w:sz w:val="26"/>
                <w:szCs w:val="26"/>
              </w:rPr>
              <w:t xml:space="preserve">к приказу </w:t>
            </w:r>
            <w:r w:rsidR="003A41EE">
              <w:rPr>
                <w:rFonts w:ascii="Times New Roman" w:hAnsi="Times New Roman"/>
                <w:sz w:val="26"/>
                <w:szCs w:val="26"/>
              </w:rPr>
              <w:t>Департамента культуры и туризма Чукотского автономного округа</w:t>
            </w:r>
            <w:r w:rsidRPr="00011503">
              <w:rPr>
                <w:rFonts w:ascii="Times New Roman" w:hAnsi="Times New Roman"/>
                <w:sz w:val="26"/>
                <w:szCs w:val="26"/>
              </w:rPr>
              <w:t xml:space="preserve"> </w:t>
            </w:r>
          </w:p>
          <w:p w:rsidR="00114C53" w:rsidRPr="00011503" w:rsidRDefault="00F45BDC" w:rsidP="003B7E9B">
            <w:pPr>
              <w:spacing w:after="0" w:line="240" w:lineRule="auto"/>
              <w:jc w:val="both"/>
              <w:rPr>
                <w:rFonts w:ascii="Times New Roman" w:hAnsi="Times New Roman"/>
                <w:sz w:val="26"/>
                <w:szCs w:val="26"/>
              </w:rPr>
            </w:pPr>
            <w:r w:rsidRPr="00467291">
              <w:rPr>
                <w:rFonts w:ascii="Times New Roman" w:hAnsi="Times New Roman"/>
                <w:sz w:val="26"/>
                <w:szCs w:val="26"/>
              </w:rPr>
              <w:t xml:space="preserve">от </w:t>
            </w:r>
            <w:r w:rsidR="00BD7C6D">
              <w:rPr>
                <w:rFonts w:ascii="Times New Roman" w:hAnsi="Times New Roman"/>
                <w:sz w:val="26"/>
                <w:szCs w:val="26"/>
              </w:rPr>
              <w:t>21</w:t>
            </w:r>
            <w:r w:rsidR="00EF7465">
              <w:rPr>
                <w:rFonts w:ascii="Times New Roman" w:hAnsi="Times New Roman"/>
                <w:sz w:val="26"/>
                <w:szCs w:val="26"/>
              </w:rPr>
              <w:t>.</w:t>
            </w:r>
            <w:r w:rsidR="00BD7C6D">
              <w:rPr>
                <w:rFonts w:ascii="Times New Roman" w:hAnsi="Times New Roman"/>
                <w:sz w:val="26"/>
                <w:szCs w:val="26"/>
              </w:rPr>
              <w:t>01</w:t>
            </w:r>
            <w:r w:rsidR="002B2D6C">
              <w:rPr>
                <w:rFonts w:ascii="Times New Roman" w:hAnsi="Times New Roman"/>
                <w:sz w:val="26"/>
                <w:szCs w:val="26"/>
              </w:rPr>
              <w:t>.202</w:t>
            </w:r>
            <w:r w:rsidR="00BD7C6D">
              <w:rPr>
                <w:rFonts w:ascii="Times New Roman" w:hAnsi="Times New Roman"/>
                <w:sz w:val="26"/>
                <w:szCs w:val="26"/>
              </w:rPr>
              <w:t>5</w:t>
            </w:r>
            <w:r w:rsidR="00FD2F71" w:rsidRPr="00467291">
              <w:rPr>
                <w:rFonts w:ascii="Times New Roman" w:hAnsi="Times New Roman"/>
                <w:sz w:val="26"/>
                <w:szCs w:val="26"/>
              </w:rPr>
              <w:t xml:space="preserve"> г. № 01-1</w:t>
            </w:r>
            <w:r w:rsidRPr="00467291">
              <w:rPr>
                <w:rFonts w:ascii="Times New Roman" w:hAnsi="Times New Roman"/>
                <w:sz w:val="26"/>
                <w:szCs w:val="26"/>
              </w:rPr>
              <w:t>0</w:t>
            </w:r>
            <w:r w:rsidR="00FD2F71" w:rsidRPr="00467291">
              <w:rPr>
                <w:rFonts w:ascii="Times New Roman" w:hAnsi="Times New Roman"/>
                <w:sz w:val="26"/>
                <w:szCs w:val="26"/>
              </w:rPr>
              <w:t>/</w:t>
            </w:r>
            <w:r w:rsidR="003B7E9B">
              <w:rPr>
                <w:rFonts w:ascii="Times New Roman" w:hAnsi="Times New Roman"/>
                <w:sz w:val="26"/>
                <w:szCs w:val="26"/>
              </w:rPr>
              <w:t>12</w:t>
            </w:r>
          </w:p>
        </w:tc>
      </w:tr>
    </w:tbl>
    <w:p w:rsidR="00114C53" w:rsidRDefault="00114C53" w:rsidP="0006222C">
      <w:pPr>
        <w:spacing w:after="0" w:line="240" w:lineRule="auto"/>
        <w:rPr>
          <w:rFonts w:ascii="Times New Roman" w:hAnsi="Times New Roman"/>
          <w:sz w:val="26"/>
        </w:rPr>
      </w:pPr>
    </w:p>
    <w:p w:rsidR="009B69B3" w:rsidRPr="00011503" w:rsidRDefault="009B69B3" w:rsidP="0006222C">
      <w:pPr>
        <w:spacing w:after="0" w:line="240" w:lineRule="auto"/>
        <w:rPr>
          <w:rFonts w:ascii="Times New Roman" w:hAnsi="Times New Roman"/>
          <w:sz w:val="26"/>
        </w:rPr>
      </w:pPr>
    </w:p>
    <w:p w:rsidR="00114C53" w:rsidRPr="0052552F" w:rsidRDefault="0052552F" w:rsidP="00630423">
      <w:pPr>
        <w:shd w:val="clear" w:color="auto" w:fill="FFFFFF"/>
        <w:spacing w:after="0" w:line="240" w:lineRule="auto"/>
        <w:jc w:val="center"/>
        <w:rPr>
          <w:rFonts w:ascii="Times New Roman" w:hAnsi="Times New Roman"/>
          <w:b/>
          <w:sz w:val="26"/>
          <w:szCs w:val="26"/>
        </w:rPr>
      </w:pPr>
      <w:r w:rsidRPr="0052552F">
        <w:rPr>
          <w:rFonts w:ascii="Times New Roman" w:hAnsi="Times New Roman"/>
          <w:b/>
          <w:sz w:val="26"/>
          <w:szCs w:val="26"/>
        </w:rPr>
        <w:t xml:space="preserve">Методика расчета ключевых показателей эффективности функционирования в </w:t>
      </w:r>
      <w:r w:rsidR="003A41EE">
        <w:rPr>
          <w:rFonts w:ascii="Times New Roman" w:hAnsi="Times New Roman"/>
          <w:b/>
          <w:sz w:val="26"/>
          <w:szCs w:val="26"/>
        </w:rPr>
        <w:t xml:space="preserve">Департаменте культуры и туризма </w:t>
      </w:r>
      <w:r w:rsidRPr="0052552F">
        <w:rPr>
          <w:rFonts w:ascii="Times New Roman" w:hAnsi="Times New Roman"/>
          <w:b/>
          <w:sz w:val="26"/>
          <w:szCs w:val="26"/>
        </w:rPr>
        <w:t>Чукотского автономного округа антимонопольного комплаенса</w:t>
      </w:r>
    </w:p>
    <w:p w:rsidR="00114C53" w:rsidRDefault="00114C53" w:rsidP="00630423">
      <w:pPr>
        <w:shd w:val="clear" w:color="auto" w:fill="FFFFFF"/>
        <w:spacing w:after="0" w:line="240" w:lineRule="auto"/>
        <w:jc w:val="center"/>
        <w:rPr>
          <w:rFonts w:ascii="Times New Roman" w:hAnsi="Times New Roman"/>
          <w:b/>
        </w:rPr>
      </w:pPr>
    </w:p>
    <w:p w:rsidR="009B69B3" w:rsidRPr="009B69B3" w:rsidRDefault="009B69B3" w:rsidP="009B69B3">
      <w:pPr>
        <w:widowControl w:val="0"/>
        <w:autoSpaceDE w:val="0"/>
        <w:autoSpaceDN w:val="0"/>
        <w:adjustRightInd w:val="0"/>
        <w:spacing w:after="0" w:line="240" w:lineRule="auto"/>
        <w:jc w:val="center"/>
        <w:outlineLvl w:val="1"/>
        <w:rPr>
          <w:rFonts w:ascii="Times New Roman" w:hAnsi="Times New Roman"/>
          <w:b/>
          <w:bCs/>
          <w:sz w:val="26"/>
          <w:szCs w:val="26"/>
        </w:rPr>
      </w:pPr>
      <w:r w:rsidRPr="009B69B3">
        <w:rPr>
          <w:rFonts w:ascii="Times New Roman" w:hAnsi="Times New Roman"/>
          <w:b/>
          <w:bCs/>
          <w:sz w:val="26"/>
          <w:szCs w:val="26"/>
        </w:rPr>
        <w:t>I. Общие положения</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1. Методика расчета ключевых показателей эффективности функционирования в </w:t>
      </w:r>
      <w:r w:rsidR="003A41EE">
        <w:rPr>
          <w:rFonts w:ascii="Times New Roman" w:hAnsi="Times New Roman"/>
          <w:sz w:val="26"/>
          <w:szCs w:val="26"/>
        </w:rPr>
        <w:t>Департаменте культуры и туризма</w:t>
      </w:r>
      <w:r>
        <w:rPr>
          <w:rFonts w:ascii="Times New Roman" w:hAnsi="Times New Roman"/>
          <w:sz w:val="26"/>
          <w:szCs w:val="26"/>
        </w:rPr>
        <w:t xml:space="preserve"> Чукотского автономного округа</w:t>
      </w:r>
      <w:r w:rsidRPr="009B69B3">
        <w:rPr>
          <w:rFonts w:ascii="Times New Roman" w:hAnsi="Times New Roman"/>
          <w:sz w:val="26"/>
          <w:szCs w:val="26"/>
        </w:rPr>
        <w:t xml:space="preserve"> антимонопольного комплаенса (далее - </w:t>
      </w:r>
      <w:r w:rsidR="003A41EE">
        <w:rPr>
          <w:rFonts w:ascii="Times New Roman" w:hAnsi="Times New Roman"/>
          <w:sz w:val="26"/>
          <w:szCs w:val="26"/>
        </w:rPr>
        <w:t>Департамен</w:t>
      </w:r>
      <w:r w:rsidR="001B6B89">
        <w:rPr>
          <w:rFonts w:ascii="Times New Roman" w:hAnsi="Times New Roman"/>
          <w:sz w:val="26"/>
          <w:szCs w:val="26"/>
        </w:rPr>
        <w:t>т</w:t>
      </w:r>
      <w:r w:rsidRPr="009B69B3">
        <w:rPr>
          <w:rFonts w:ascii="Times New Roman" w:hAnsi="Times New Roman"/>
          <w:sz w:val="26"/>
          <w:szCs w:val="26"/>
        </w:rPr>
        <w:t xml:space="preserve">) разработана в соответствии с </w:t>
      </w:r>
      <w:hyperlink r:id="rId7" w:history="1">
        <w:r w:rsidRPr="009B69B3">
          <w:rPr>
            <w:rFonts w:ascii="Times New Roman" w:hAnsi="Times New Roman"/>
            <w:sz w:val="26"/>
            <w:szCs w:val="26"/>
          </w:rPr>
          <w:t>распоряжением</w:t>
        </w:r>
      </w:hyperlink>
      <w:r w:rsidRPr="009B69B3">
        <w:rPr>
          <w:rFonts w:ascii="Times New Roman" w:hAnsi="Times New Roman"/>
          <w:sz w:val="26"/>
          <w:szCs w:val="26"/>
        </w:rPr>
        <w:t xml:space="preserve"> Правительства Российской Федерации от 18.10.2018 </w:t>
      </w:r>
      <w:r w:rsidR="001B6B89">
        <w:rPr>
          <w:rFonts w:ascii="Times New Roman" w:hAnsi="Times New Roman"/>
          <w:sz w:val="26"/>
          <w:szCs w:val="26"/>
        </w:rPr>
        <w:t>№ 2258-р</w:t>
      </w:r>
      <w:r w:rsidR="00BC6743">
        <w:rPr>
          <w:rFonts w:ascii="Times New Roman" w:hAnsi="Times New Roman"/>
          <w:sz w:val="26"/>
          <w:szCs w:val="26"/>
        </w:rPr>
        <w:t xml:space="preserve"> </w:t>
      </w:r>
      <w:r w:rsidR="001B6B89">
        <w:rPr>
          <w:rFonts w:ascii="Times New Roman" w:hAnsi="Times New Roman"/>
          <w:sz w:val="26"/>
          <w:szCs w:val="26"/>
        </w:rPr>
        <w:t>«</w:t>
      </w:r>
      <w:r w:rsidRPr="009B69B3">
        <w:rPr>
          <w:rFonts w:ascii="Times New Roman" w:hAnsi="Times New Roman"/>
          <w:sz w:val="26"/>
          <w:szCs w:val="26"/>
        </w:rPr>
        <w:t>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w:t>
      </w:r>
      <w:r w:rsidR="001B6B89">
        <w:rPr>
          <w:rFonts w:ascii="Times New Roman" w:hAnsi="Times New Roman"/>
          <w:sz w:val="26"/>
          <w:szCs w:val="26"/>
        </w:rPr>
        <w:t>тимонопольного законодательства»</w:t>
      </w:r>
      <w:r w:rsidRPr="009B69B3">
        <w:rPr>
          <w:rFonts w:ascii="Times New Roman" w:hAnsi="Times New Roman"/>
          <w:sz w:val="26"/>
          <w:szCs w:val="26"/>
        </w:rPr>
        <w:t xml:space="preserve"> (далее - Методические рекомендации).</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2. В целях оценки эффективности функционирования в </w:t>
      </w:r>
      <w:r w:rsidR="003A41EE">
        <w:rPr>
          <w:rFonts w:ascii="Times New Roman" w:hAnsi="Times New Roman"/>
          <w:sz w:val="26"/>
          <w:szCs w:val="26"/>
        </w:rPr>
        <w:t xml:space="preserve">Департаменте </w:t>
      </w:r>
      <w:r w:rsidRPr="009B69B3">
        <w:rPr>
          <w:rFonts w:ascii="Times New Roman" w:hAnsi="Times New Roman"/>
          <w:sz w:val="26"/>
          <w:szCs w:val="26"/>
        </w:rPr>
        <w:t xml:space="preserve">антимонопольного комплаенса в соответствии с Методикой рассчитываются ключевые показатели эффективности антимонопольного комплаенса (далее - КПЭ) как для уполномоченного подразделения (должностного лица), так и для </w:t>
      </w:r>
      <w:r w:rsidR="00B9139D">
        <w:rPr>
          <w:rFonts w:ascii="Times New Roman" w:hAnsi="Times New Roman"/>
          <w:sz w:val="26"/>
          <w:szCs w:val="26"/>
        </w:rPr>
        <w:t>Департамен</w:t>
      </w:r>
      <w:r w:rsidR="001B6B89">
        <w:rPr>
          <w:rFonts w:ascii="Times New Roman" w:hAnsi="Times New Roman"/>
          <w:sz w:val="26"/>
          <w:szCs w:val="26"/>
        </w:rPr>
        <w:t>та</w:t>
      </w:r>
      <w:r w:rsidRPr="009B69B3">
        <w:rPr>
          <w:rFonts w:ascii="Times New Roman" w:hAnsi="Times New Roman"/>
          <w:sz w:val="26"/>
          <w:szCs w:val="26"/>
        </w:rPr>
        <w:t xml:space="preserve"> в целом.</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CD6FE8">
      <w:pPr>
        <w:widowControl w:val="0"/>
        <w:autoSpaceDE w:val="0"/>
        <w:autoSpaceDN w:val="0"/>
        <w:adjustRightInd w:val="0"/>
        <w:spacing w:after="0" w:line="240" w:lineRule="auto"/>
        <w:jc w:val="center"/>
        <w:outlineLvl w:val="1"/>
        <w:rPr>
          <w:rFonts w:ascii="Times New Roman" w:hAnsi="Times New Roman"/>
          <w:b/>
          <w:bCs/>
          <w:sz w:val="26"/>
          <w:szCs w:val="26"/>
        </w:rPr>
      </w:pPr>
      <w:r w:rsidRPr="009B69B3">
        <w:rPr>
          <w:rFonts w:ascii="Times New Roman" w:hAnsi="Times New Roman"/>
          <w:b/>
          <w:bCs/>
          <w:sz w:val="26"/>
          <w:szCs w:val="26"/>
        </w:rPr>
        <w:t xml:space="preserve">II. Методика расчета КПЭ для </w:t>
      </w:r>
      <w:r w:rsidR="00B9139D">
        <w:rPr>
          <w:rFonts w:ascii="Times New Roman" w:hAnsi="Times New Roman"/>
          <w:b/>
          <w:bCs/>
          <w:sz w:val="26"/>
          <w:szCs w:val="26"/>
        </w:rPr>
        <w:t>Департамен</w:t>
      </w:r>
      <w:r w:rsidR="00412B17">
        <w:rPr>
          <w:rFonts w:ascii="Times New Roman" w:hAnsi="Times New Roman"/>
          <w:b/>
          <w:bCs/>
          <w:sz w:val="26"/>
          <w:szCs w:val="26"/>
        </w:rPr>
        <w:t>та</w:t>
      </w:r>
      <w:r w:rsidRPr="009B69B3">
        <w:rPr>
          <w:rFonts w:ascii="Times New Roman" w:hAnsi="Times New Roman"/>
          <w:b/>
          <w:bCs/>
          <w:sz w:val="26"/>
          <w:szCs w:val="26"/>
        </w:rPr>
        <w:t xml:space="preserve"> в целом</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3. Ключевыми показателями эффективности антимонопольного комплаенса для </w:t>
      </w:r>
      <w:r w:rsidR="003A41EE">
        <w:rPr>
          <w:rFonts w:ascii="Times New Roman" w:hAnsi="Times New Roman"/>
          <w:sz w:val="26"/>
          <w:szCs w:val="26"/>
        </w:rPr>
        <w:t>Департамента</w:t>
      </w:r>
      <w:r w:rsidRPr="009B69B3">
        <w:rPr>
          <w:rFonts w:ascii="Times New Roman" w:hAnsi="Times New Roman"/>
          <w:sz w:val="26"/>
          <w:szCs w:val="26"/>
        </w:rPr>
        <w:t xml:space="preserve"> в целом являются:</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а) коэффициент снижения количества нарушений антимонопольного законодательства со стороны </w:t>
      </w:r>
      <w:r w:rsidR="003A41EE">
        <w:rPr>
          <w:rFonts w:ascii="Times New Roman" w:hAnsi="Times New Roman"/>
          <w:sz w:val="26"/>
          <w:szCs w:val="26"/>
        </w:rPr>
        <w:t xml:space="preserve">Департамента </w:t>
      </w:r>
      <w:r w:rsidRPr="009B69B3">
        <w:rPr>
          <w:rFonts w:ascii="Times New Roman" w:hAnsi="Times New Roman"/>
          <w:sz w:val="26"/>
          <w:szCs w:val="26"/>
        </w:rPr>
        <w:t xml:space="preserve">по сравнению с </w:t>
      </w:r>
      <w:r w:rsidR="004A281B">
        <w:rPr>
          <w:rFonts w:ascii="Times New Roman" w:hAnsi="Times New Roman"/>
          <w:sz w:val="26"/>
          <w:szCs w:val="26"/>
        </w:rPr>
        <w:t>предыдущим годом</w:t>
      </w:r>
      <w:r w:rsidRPr="009B69B3">
        <w:rPr>
          <w:rFonts w:ascii="Times New Roman" w:hAnsi="Times New Roman"/>
          <w:sz w:val="26"/>
          <w:szCs w:val="26"/>
        </w:rPr>
        <w:t>;</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б) доля проектов нормативных правовых актов </w:t>
      </w:r>
      <w:r w:rsidR="003A41EE">
        <w:rPr>
          <w:rFonts w:ascii="Times New Roman" w:hAnsi="Times New Roman"/>
          <w:sz w:val="26"/>
          <w:szCs w:val="26"/>
        </w:rPr>
        <w:t>Департамента</w:t>
      </w:r>
      <w:r w:rsidRPr="009B69B3">
        <w:rPr>
          <w:rFonts w:ascii="Times New Roman" w:hAnsi="Times New Roman"/>
          <w:sz w:val="26"/>
          <w:szCs w:val="26"/>
        </w:rPr>
        <w:t>, в которых выявлены риски нарушения антимонопольного законодательства;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в) доля нормативных правовых актов </w:t>
      </w:r>
      <w:r w:rsidR="003A41EE">
        <w:rPr>
          <w:rFonts w:ascii="Times New Roman" w:hAnsi="Times New Roman"/>
          <w:sz w:val="26"/>
          <w:szCs w:val="26"/>
        </w:rPr>
        <w:t>Департамента</w:t>
      </w:r>
      <w:r w:rsidRPr="009B69B3">
        <w:rPr>
          <w:rFonts w:ascii="Times New Roman" w:hAnsi="Times New Roman"/>
          <w:sz w:val="26"/>
          <w:szCs w:val="26"/>
        </w:rPr>
        <w:t>, в которых выявлены риски нарушения антимонопольного законодательства.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4. Коэффициент снижения количества нарушений антимонопольного законодательства со стороны </w:t>
      </w:r>
      <w:r w:rsidR="003A41EE">
        <w:rPr>
          <w:rFonts w:ascii="Times New Roman" w:hAnsi="Times New Roman"/>
          <w:sz w:val="26"/>
          <w:szCs w:val="26"/>
        </w:rPr>
        <w:t>Департамента</w:t>
      </w:r>
      <w:r w:rsidRPr="009B69B3">
        <w:rPr>
          <w:rFonts w:ascii="Times New Roman" w:hAnsi="Times New Roman"/>
          <w:sz w:val="26"/>
          <w:szCs w:val="26"/>
        </w:rPr>
        <w:t xml:space="preserve"> (</w:t>
      </w:r>
      <w:r w:rsidR="005636FD">
        <w:rPr>
          <w:rFonts w:ascii="Times New Roman" w:hAnsi="Times New Roman"/>
          <w:sz w:val="26"/>
          <w:szCs w:val="26"/>
        </w:rPr>
        <w:t>п</w:t>
      </w:r>
      <w:r w:rsidRPr="009B69B3">
        <w:rPr>
          <w:rFonts w:ascii="Times New Roman" w:hAnsi="Times New Roman"/>
          <w:sz w:val="26"/>
          <w:szCs w:val="26"/>
        </w:rPr>
        <w:t xml:space="preserve">о сравнению с </w:t>
      </w:r>
      <w:r w:rsidR="002B2D6C">
        <w:rPr>
          <w:rFonts w:ascii="Times New Roman" w:hAnsi="Times New Roman"/>
          <w:sz w:val="26"/>
          <w:szCs w:val="26"/>
        </w:rPr>
        <w:t>предыдущим</w:t>
      </w:r>
      <w:r w:rsidRPr="009B69B3">
        <w:rPr>
          <w:rFonts w:ascii="Times New Roman" w:hAnsi="Times New Roman"/>
          <w:sz w:val="26"/>
          <w:szCs w:val="26"/>
        </w:rPr>
        <w:t xml:space="preserve"> годом рассчитывается по формуле: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6A480F" w:rsidP="009B69B3">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noProof/>
          <w:sz w:val="26"/>
          <w:szCs w:val="26"/>
        </w:rPr>
        <mc:AlternateContent>
          <mc:Choice Requires="wpc">
            <w:drawing>
              <wp:inline distT="0" distB="0" distL="0" distR="0">
                <wp:extent cx="1158875" cy="589280"/>
                <wp:effectExtent l="0" t="0" r="3175" b="127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Line 5"/>
                        <wps:cNvCnPr/>
                        <wps:spPr bwMode="auto">
                          <a:xfrm>
                            <a:off x="596900" y="241300"/>
                            <a:ext cx="52197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637540" y="267335"/>
                            <a:ext cx="43116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F" w:rsidRDefault="0081569F">
                              <w:proofErr w:type="spellStart"/>
                              <w:r>
                                <w:rPr>
                                  <w:rFonts w:ascii="Times New Roman" w:hAnsi="Times New Roman"/>
                                  <w:color w:val="000000"/>
                                  <w:sz w:val="28"/>
                                  <w:szCs w:val="28"/>
                                  <w:lang w:val="en-US"/>
                                </w:rPr>
                                <w:t>КНоп</w:t>
                              </w:r>
                              <w:proofErr w:type="spellEnd"/>
                            </w:p>
                          </w:txbxContent>
                        </wps:txbx>
                        <wps:bodyPr rot="0" vert="horz" wrap="none" lIns="0" tIns="0" rIns="0" bIns="0" anchor="t" anchorCtr="0">
                          <a:spAutoFit/>
                        </wps:bodyPr>
                      </wps:wsp>
                      <wps:wsp>
                        <wps:cNvPr id="8" name="Rectangle 7"/>
                        <wps:cNvSpPr>
                          <a:spLocks noChangeArrowheads="1"/>
                        </wps:cNvSpPr>
                        <wps:spPr bwMode="auto">
                          <a:xfrm>
                            <a:off x="608965" y="10795"/>
                            <a:ext cx="2470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F" w:rsidRDefault="0081569F">
                              <w:r>
                                <w:rPr>
                                  <w:rFonts w:ascii="Times New Roman" w:hAnsi="Times New Roman"/>
                                  <w:color w:val="000000"/>
                                  <w:sz w:val="28"/>
                                  <w:szCs w:val="28"/>
                                  <w:lang w:val="en-US"/>
                                </w:rPr>
                                <w:t>КН</w:t>
                              </w:r>
                            </w:p>
                          </w:txbxContent>
                        </wps:txbx>
                        <wps:bodyPr rot="0" vert="horz" wrap="none" lIns="0" tIns="0" rIns="0" bIns="0" anchor="t" anchorCtr="0">
                          <a:spAutoFit/>
                        </wps:bodyPr>
                      </wps:wsp>
                      <wps:wsp>
                        <wps:cNvPr id="9" name="Rectangle 8"/>
                        <wps:cNvSpPr>
                          <a:spLocks noChangeArrowheads="1"/>
                        </wps:cNvSpPr>
                        <wps:spPr bwMode="auto">
                          <a:xfrm>
                            <a:off x="27940" y="125730"/>
                            <a:ext cx="3657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F" w:rsidRDefault="0081569F">
                              <w:r>
                                <w:rPr>
                                  <w:rFonts w:ascii="Times New Roman" w:hAnsi="Times New Roman"/>
                                  <w:color w:val="000000"/>
                                  <w:sz w:val="28"/>
                                  <w:szCs w:val="28"/>
                                  <w:lang w:val="en-US"/>
                                </w:rPr>
                                <w:t>КСН</w:t>
                              </w:r>
                            </w:p>
                          </w:txbxContent>
                        </wps:txbx>
                        <wps:bodyPr rot="0" vert="horz" wrap="none" lIns="0" tIns="0" rIns="0" bIns="0" anchor="t" anchorCtr="0">
                          <a:spAutoFit/>
                        </wps:bodyPr>
                      </wps:wsp>
                      <wps:wsp>
                        <wps:cNvPr id="10" name="Rectangle 9"/>
                        <wps:cNvSpPr>
                          <a:spLocks noChangeArrowheads="1"/>
                        </wps:cNvSpPr>
                        <wps:spPr bwMode="auto">
                          <a:xfrm>
                            <a:off x="876300" y="122555"/>
                            <a:ext cx="1447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F" w:rsidRPr="004A281B" w:rsidRDefault="0081569F">
                              <w:r>
                                <w:rPr>
                                  <w:rFonts w:ascii="Times New Roman" w:hAnsi="Times New Roman"/>
                                  <w:color w:val="000000"/>
                                  <w:sz w:val="16"/>
                                  <w:szCs w:val="16"/>
                                </w:rPr>
                                <w:t>год</w:t>
                              </w:r>
                            </w:p>
                          </w:txbxContent>
                        </wps:txbx>
                        <wps:bodyPr rot="0" vert="horz" wrap="none" lIns="0" tIns="0" rIns="0" bIns="0" anchor="t" anchorCtr="0">
                          <a:spAutoFit/>
                        </wps:bodyPr>
                      </wps:wsp>
                      <wps:wsp>
                        <wps:cNvPr id="11" name="Rectangle 10"/>
                        <wps:cNvSpPr>
                          <a:spLocks noChangeArrowheads="1"/>
                        </wps:cNvSpPr>
                        <wps:spPr bwMode="auto">
                          <a:xfrm>
                            <a:off x="450850" y="104775"/>
                            <a:ext cx="977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69F" w:rsidRDefault="0081569F">
                              <w:r>
                                <w:rPr>
                                  <w:rFonts w:ascii="Symbol" w:hAnsi="Symbol" w:cs="Symbol"/>
                                  <w:color w:val="000000"/>
                                  <w:sz w:val="28"/>
                                  <w:szCs w:val="28"/>
                                  <w:lang w:val="en-US"/>
                                </w:rPr>
                                <w:t></w:t>
                              </w:r>
                            </w:p>
                          </w:txbxContent>
                        </wps:txbx>
                        <wps:bodyPr rot="0" vert="horz" wrap="none" lIns="0" tIns="0" rIns="0" bIns="0" anchor="t" anchorCtr="0">
                          <a:spAutoFit/>
                        </wps:bodyPr>
                      </wps:wsp>
                    </wpc:wpc>
                  </a:graphicData>
                </a:graphic>
              </wp:inline>
            </w:drawing>
          </mc:Choice>
          <mc:Fallback>
            <w:pict>
              <v:group id="Полотно 12" o:spid="_x0000_s1026" editas="canvas" style="width:91.25pt;height:46.4pt;mso-position-horizontal-relative:char;mso-position-vertical-relative:line" coordsize="11588,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88;height:5892;visibility:visible;mso-wrap-style:square">
                  <v:fill o:detectmouseclick="t"/>
                  <v:path o:connecttype="none"/>
                </v:shape>
                <v:line id="Line 5" o:spid="_x0000_s1028" style="position:absolute;visibility:visible;mso-wrap-style:square" from="5969,2413" to="11188,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" strokeweight="33e-5mm"/>
                <v:rect id="Rectangle 6" o:spid="_x0000_s1029" style="position:absolute;left:6375;top:2673;width:4312;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81569F" w:rsidRDefault="0081569F">
                        <w:proofErr w:type="spellStart"/>
                        <w:r>
                          <w:rPr>
                            <w:rFonts w:ascii="Times New Roman" w:hAnsi="Times New Roman"/>
                            <w:color w:val="000000"/>
                            <w:sz w:val="28"/>
                            <w:szCs w:val="28"/>
                            <w:lang w:val="en-US"/>
                          </w:rPr>
                          <w:t>КНоп</w:t>
                        </w:r>
                        <w:proofErr w:type="spellEnd"/>
                      </w:p>
                    </w:txbxContent>
                  </v:textbox>
                </v:rect>
                <v:rect id="Rectangle 7" o:spid="_x0000_s1030" style="position:absolute;left:6089;top:107;width:2470;height:3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81569F" w:rsidRDefault="0081569F">
                        <w:r>
                          <w:rPr>
                            <w:rFonts w:ascii="Times New Roman" w:hAnsi="Times New Roman"/>
                            <w:color w:val="000000"/>
                            <w:sz w:val="28"/>
                            <w:szCs w:val="28"/>
                            <w:lang w:val="en-US"/>
                          </w:rPr>
                          <w:t>КН</w:t>
                        </w:r>
                      </w:p>
                    </w:txbxContent>
                  </v:textbox>
                </v:rect>
                <v:rect id="Rectangle 8" o:spid="_x0000_s1031" style="position:absolute;left:279;top:1257;width:3658;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1569F" w:rsidRDefault="0081569F">
                        <w:r>
                          <w:rPr>
                            <w:rFonts w:ascii="Times New Roman" w:hAnsi="Times New Roman"/>
                            <w:color w:val="000000"/>
                            <w:sz w:val="28"/>
                            <w:szCs w:val="28"/>
                            <w:lang w:val="en-US"/>
                          </w:rPr>
                          <w:t>КСН</w:t>
                        </w:r>
                      </w:p>
                    </w:txbxContent>
                  </v:textbox>
                </v:rect>
                <v:rect id="Rectangle 9" o:spid="_x0000_s1032" style="position:absolute;left:8763;top:1225;width:144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81569F" w:rsidRPr="004A281B" w:rsidRDefault="0081569F">
                        <w:r>
                          <w:rPr>
                            <w:rFonts w:ascii="Times New Roman" w:hAnsi="Times New Roman"/>
                            <w:color w:val="000000"/>
                            <w:sz w:val="16"/>
                            <w:szCs w:val="16"/>
                          </w:rPr>
                          <w:t>год</w:t>
                        </w:r>
                      </w:p>
                    </w:txbxContent>
                  </v:textbox>
                </v:rect>
                <v:rect id="Rectangle 10" o:spid="_x0000_s1033" style="position:absolute;left:4508;top:1047;width:978;height:33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1569F" w:rsidRDefault="0081569F">
                        <w:r>
                          <w:rPr>
                            <w:rFonts w:ascii="Symbol" w:hAnsi="Symbol" w:cs="Symbol"/>
                            <w:color w:val="000000"/>
                            <w:sz w:val="28"/>
                            <w:szCs w:val="28"/>
                            <w:lang w:val="en-US"/>
                          </w:rPr>
                          <w:t></w:t>
                        </w:r>
                      </w:p>
                    </w:txbxContent>
                  </v:textbox>
                </v:rect>
                <w10:anchorlock/>
              </v:group>
            </w:pict>
          </mc:Fallback>
        </mc:AlternateContent>
      </w:r>
      <w:r w:rsidR="009B69B3" w:rsidRPr="009B69B3">
        <w:rPr>
          <w:rFonts w:ascii="Times New Roman" w:hAnsi="Times New Roman"/>
          <w:sz w:val="26"/>
          <w:szCs w:val="26"/>
        </w:rPr>
        <w:t>, где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КСН - коэффициент снижения количества нарушений антимонопольного законодательства со стороны </w:t>
      </w:r>
      <w:r w:rsidR="003A41EE">
        <w:rPr>
          <w:rFonts w:ascii="Times New Roman" w:hAnsi="Times New Roman"/>
          <w:sz w:val="26"/>
          <w:szCs w:val="26"/>
        </w:rPr>
        <w:t>Департамента</w:t>
      </w:r>
      <w:r w:rsidRPr="009B69B3">
        <w:rPr>
          <w:rFonts w:ascii="Times New Roman" w:hAnsi="Times New Roman"/>
          <w:sz w:val="26"/>
          <w:szCs w:val="26"/>
        </w:rPr>
        <w:t xml:space="preserve"> по сравнению с </w:t>
      </w:r>
      <w:r w:rsidR="0025538B">
        <w:rPr>
          <w:rFonts w:ascii="Times New Roman" w:hAnsi="Times New Roman"/>
          <w:sz w:val="26"/>
          <w:szCs w:val="26"/>
        </w:rPr>
        <w:t>предыдущим</w:t>
      </w:r>
      <w:r w:rsidRPr="009B69B3">
        <w:rPr>
          <w:rFonts w:ascii="Times New Roman" w:hAnsi="Times New Roman"/>
          <w:sz w:val="26"/>
          <w:szCs w:val="26"/>
        </w:rPr>
        <w:t xml:space="preserve"> годом;</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lastRenderedPageBreak/>
        <w:t>КН</w:t>
      </w:r>
      <w:r w:rsidR="004A281B">
        <w:rPr>
          <w:rFonts w:ascii="Times New Roman" w:hAnsi="Times New Roman"/>
          <w:sz w:val="26"/>
          <w:szCs w:val="26"/>
          <w:vertAlign w:val="subscript"/>
        </w:rPr>
        <w:t>год</w:t>
      </w:r>
      <w:proofErr w:type="spellEnd"/>
      <w:r w:rsidRPr="009B69B3">
        <w:rPr>
          <w:rFonts w:ascii="Times New Roman" w:hAnsi="Times New Roman"/>
          <w:sz w:val="26"/>
          <w:szCs w:val="26"/>
        </w:rPr>
        <w:t xml:space="preserve"> - </w:t>
      </w:r>
      <w:r w:rsidR="004A281B" w:rsidRPr="004A281B">
        <w:rPr>
          <w:rFonts w:ascii="Times New Roman" w:eastAsia="Arial Unicode MS" w:hAnsi="Times New Roman"/>
          <w:sz w:val="26"/>
          <w:szCs w:val="26"/>
        </w:rPr>
        <w:t>количество нарушений антимонопольного законодательства со стороны Департамента в году, предшествующим отчетному году</w:t>
      </w:r>
      <w:r w:rsidRPr="009B69B3">
        <w:rPr>
          <w:rFonts w:ascii="Times New Roman" w:hAnsi="Times New Roman"/>
          <w:sz w:val="26"/>
          <w:szCs w:val="26"/>
        </w:rPr>
        <w:t>;</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КНоп</w:t>
      </w:r>
      <w:proofErr w:type="spellEnd"/>
      <w:r w:rsidRPr="009B69B3">
        <w:rPr>
          <w:rFonts w:ascii="Times New Roman" w:hAnsi="Times New Roman"/>
          <w:sz w:val="26"/>
          <w:szCs w:val="26"/>
        </w:rPr>
        <w:t xml:space="preserve"> - количество нарушений антимонопольного законодательства со стороны </w:t>
      </w:r>
      <w:r w:rsidR="003A41EE">
        <w:rPr>
          <w:rFonts w:ascii="Times New Roman" w:hAnsi="Times New Roman"/>
          <w:sz w:val="26"/>
          <w:szCs w:val="26"/>
        </w:rPr>
        <w:t>Департамента</w:t>
      </w:r>
      <w:r w:rsidRPr="009B69B3">
        <w:rPr>
          <w:rFonts w:ascii="Times New Roman" w:hAnsi="Times New Roman"/>
          <w:sz w:val="26"/>
          <w:szCs w:val="26"/>
        </w:rPr>
        <w:t xml:space="preserve"> в отчетном периоде.</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При расчете коэффициента снижения количества нарушений антимонопольного законодательства со стороны </w:t>
      </w:r>
      <w:r w:rsidR="003A41EE">
        <w:rPr>
          <w:rFonts w:ascii="Times New Roman" w:hAnsi="Times New Roman"/>
          <w:sz w:val="26"/>
          <w:szCs w:val="26"/>
        </w:rPr>
        <w:t>Департамента</w:t>
      </w:r>
      <w:r w:rsidRPr="009B69B3">
        <w:rPr>
          <w:rFonts w:ascii="Times New Roman" w:hAnsi="Times New Roman"/>
          <w:sz w:val="26"/>
          <w:szCs w:val="26"/>
        </w:rPr>
        <w:t xml:space="preserve"> под нарушением антимонопольного законодательства со стороны </w:t>
      </w:r>
      <w:r w:rsidR="003A41EE">
        <w:rPr>
          <w:rFonts w:ascii="Times New Roman" w:hAnsi="Times New Roman"/>
          <w:sz w:val="26"/>
          <w:szCs w:val="26"/>
        </w:rPr>
        <w:t>Департамента</w:t>
      </w:r>
      <w:r w:rsidRPr="009B69B3">
        <w:rPr>
          <w:rFonts w:ascii="Times New Roman" w:hAnsi="Times New Roman"/>
          <w:sz w:val="26"/>
          <w:szCs w:val="26"/>
        </w:rPr>
        <w:t xml:space="preserve"> понимаются:</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 возбужденные антимонопольным органом в отношении </w:t>
      </w:r>
      <w:r w:rsidR="003A41EE">
        <w:rPr>
          <w:rFonts w:ascii="Times New Roman" w:hAnsi="Times New Roman"/>
          <w:sz w:val="26"/>
          <w:szCs w:val="26"/>
        </w:rPr>
        <w:t>Департамента</w:t>
      </w:r>
      <w:r w:rsidRPr="009B69B3">
        <w:rPr>
          <w:rFonts w:ascii="Times New Roman" w:hAnsi="Times New Roman"/>
          <w:sz w:val="26"/>
          <w:szCs w:val="26"/>
        </w:rPr>
        <w:t xml:space="preserve"> антимонопольные дела;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 выданные антимонопольным органом </w:t>
      </w:r>
      <w:r w:rsidR="003A41EE">
        <w:rPr>
          <w:rFonts w:ascii="Times New Roman" w:hAnsi="Times New Roman"/>
          <w:sz w:val="26"/>
          <w:szCs w:val="26"/>
        </w:rPr>
        <w:t>Департаменту</w:t>
      </w:r>
      <w:r w:rsidRPr="009B69B3">
        <w:rPr>
          <w:rFonts w:ascii="Times New Roman" w:hAnsi="Times New Roman"/>
          <w:sz w:val="26"/>
          <w:szCs w:val="26"/>
        </w:rPr>
        <w:t xml:space="preserve">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 направленные антимонопольным органом </w:t>
      </w:r>
      <w:r w:rsidR="003A41EE">
        <w:rPr>
          <w:rFonts w:ascii="Times New Roman" w:hAnsi="Times New Roman"/>
          <w:sz w:val="26"/>
          <w:szCs w:val="26"/>
        </w:rPr>
        <w:t>Департаменту</w:t>
      </w:r>
      <w:r w:rsidRPr="009B69B3">
        <w:rPr>
          <w:rFonts w:ascii="Times New Roman" w:hAnsi="Times New Roman"/>
          <w:sz w:val="26"/>
          <w:szCs w:val="26"/>
        </w:rPr>
        <w:t xml:space="preserve"> предостережения о недопустимости совершения действий, которые могут привести к нарушению антимонопольного законодательства.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5. Доля проектов нормативных правовых актов </w:t>
      </w:r>
      <w:r w:rsidR="003A41EE">
        <w:rPr>
          <w:rFonts w:ascii="Times New Roman" w:hAnsi="Times New Roman"/>
          <w:sz w:val="26"/>
          <w:szCs w:val="26"/>
        </w:rPr>
        <w:t>Департамент</w:t>
      </w:r>
      <w:r w:rsidR="004053EF">
        <w:rPr>
          <w:rFonts w:ascii="Times New Roman" w:hAnsi="Times New Roman"/>
          <w:sz w:val="26"/>
          <w:szCs w:val="26"/>
        </w:rPr>
        <w:t>а</w:t>
      </w:r>
      <w:r w:rsidRPr="009B69B3">
        <w:rPr>
          <w:rFonts w:ascii="Times New Roman" w:hAnsi="Times New Roman"/>
          <w:sz w:val="26"/>
          <w:szCs w:val="26"/>
        </w:rPr>
        <w:t>, в которых выявлены риски нарушения антимонопольного законодательства, рассчитывается по формуле: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noProof/>
          <w:position w:val="-24"/>
          <w:sz w:val="26"/>
          <w:szCs w:val="26"/>
        </w:rPr>
        <w:drawing>
          <wp:inline distT="0" distB="0" distL="0" distR="0" wp14:anchorId="2B79A5CC" wp14:editId="74DA5574">
            <wp:extent cx="1275715" cy="4679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467995"/>
                    </a:xfrm>
                    <a:prstGeom prst="rect">
                      <a:avLst/>
                    </a:prstGeom>
                    <a:noFill/>
                    <a:ln>
                      <a:noFill/>
                    </a:ln>
                  </pic:spPr>
                </pic:pic>
              </a:graphicData>
            </a:graphic>
          </wp:inline>
        </w:drawing>
      </w:r>
      <w:r w:rsidRPr="009B69B3">
        <w:rPr>
          <w:rFonts w:ascii="Times New Roman" w:hAnsi="Times New Roman"/>
          <w:sz w:val="26"/>
          <w:szCs w:val="26"/>
        </w:rPr>
        <w:t>, где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Дпнпа</w:t>
      </w:r>
      <w:proofErr w:type="spellEnd"/>
      <w:r w:rsidRPr="009B69B3">
        <w:rPr>
          <w:rFonts w:ascii="Times New Roman" w:hAnsi="Times New Roman"/>
          <w:sz w:val="26"/>
          <w:szCs w:val="26"/>
        </w:rPr>
        <w:t xml:space="preserve"> - доля проектов нормативных правовых актов </w:t>
      </w:r>
      <w:r w:rsidR="003A41EE">
        <w:rPr>
          <w:rFonts w:ascii="Times New Roman" w:hAnsi="Times New Roman"/>
          <w:sz w:val="26"/>
          <w:szCs w:val="26"/>
        </w:rPr>
        <w:t>Департамент</w:t>
      </w:r>
      <w:r w:rsidR="004053EF">
        <w:rPr>
          <w:rFonts w:ascii="Times New Roman" w:hAnsi="Times New Roman"/>
          <w:sz w:val="26"/>
          <w:szCs w:val="26"/>
        </w:rPr>
        <w:t>а</w:t>
      </w:r>
      <w:r w:rsidRPr="009B69B3">
        <w:rPr>
          <w:rFonts w:ascii="Times New Roman" w:hAnsi="Times New Roman"/>
          <w:sz w:val="26"/>
          <w:szCs w:val="26"/>
        </w:rPr>
        <w:t>, в которых выявлены риски нарушения антимонопольного законодательства;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Кпнпа</w:t>
      </w:r>
      <w:proofErr w:type="spellEnd"/>
      <w:r w:rsidRPr="009B69B3">
        <w:rPr>
          <w:rFonts w:ascii="Times New Roman" w:hAnsi="Times New Roman"/>
          <w:sz w:val="26"/>
          <w:szCs w:val="26"/>
        </w:rPr>
        <w:t xml:space="preserve"> - количество проектов нормативных правовых актов </w:t>
      </w:r>
      <w:r w:rsidR="00D42A5D">
        <w:rPr>
          <w:rFonts w:ascii="Times New Roman" w:hAnsi="Times New Roman"/>
          <w:sz w:val="26"/>
          <w:szCs w:val="26"/>
        </w:rPr>
        <w:t>Департамента</w:t>
      </w:r>
      <w:r w:rsidRPr="009B69B3">
        <w:rPr>
          <w:rFonts w:ascii="Times New Roman" w:hAnsi="Times New Roman"/>
          <w:sz w:val="26"/>
          <w:szCs w:val="26"/>
        </w:rPr>
        <w:t xml:space="preserve">, в которых </w:t>
      </w:r>
      <w:r w:rsidR="00D42A5D">
        <w:rPr>
          <w:rFonts w:ascii="Times New Roman" w:hAnsi="Times New Roman"/>
          <w:sz w:val="26"/>
          <w:szCs w:val="26"/>
        </w:rPr>
        <w:t>Департаментом</w:t>
      </w:r>
      <w:r w:rsidRPr="009B69B3">
        <w:rPr>
          <w:rFonts w:ascii="Times New Roman" w:hAnsi="Times New Roman"/>
          <w:sz w:val="26"/>
          <w:szCs w:val="26"/>
        </w:rPr>
        <w:t xml:space="preserve"> выявлены риски нарушения антимонопольного законодательства (в отчетном периоде);</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КНоп</w:t>
      </w:r>
      <w:proofErr w:type="spellEnd"/>
      <w:r w:rsidRPr="009B69B3">
        <w:rPr>
          <w:rFonts w:ascii="Times New Roman" w:hAnsi="Times New Roman"/>
          <w:sz w:val="26"/>
          <w:szCs w:val="26"/>
        </w:rPr>
        <w:t xml:space="preserve"> - количество нормативных правовых актов </w:t>
      </w:r>
      <w:r w:rsidR="00D42A5D">
        <w:rPr>
          <w:rFonts w:ascii="Times New Roman" w:hAnsi="Times New Roman"/>
          <w:sz w:val="26"/>
          <w:szCs w:val="26"/>
        </w:rPr>
        <w:t>Департамент</w:t>
      </w:r>
      <w:r w:rsidR="004053EF">
        <w:rPr>
          <w:rFonts w:ascii="Times New Roman" w:hAnsi="Times New Roman"/>
          <w:sz w:val="26"/>
          <w:szCs w:val="26"/>
        </w:rPr>
        <w:t>а</w:t>
      </w:r>
      <w:r w:rsidRPr="009B69B3">
        <w:rPr>
          <w:rFonts w:ascii="Times New Roman" w:hAnsi="Times New Roman"/>
          <w:sz w:val="26"/>
          <w:szCs w:val="26"/>
        </w:rPr>
        <w:t>, в которых антимонопольным органом выявлены нарушения антимонопольного законодательства (в отчетном периоде).</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6. Доля нормативных правовых актов </w:t>
      </w:r>
      <w:r w:rsidR="00D42A5D">
        <w:rPr>
          <w:rFonts w:ascii="Times New Roman" w:hAnsi="Times New Roman"/>
          <w:sz w:val="26"/>
          <w:szCs w:val="26"/>
        </w:rPr>
        <w:t>Департамен</w:t>
      </w:r>
      <w:r w:rsidR="004053EF">
        <w:rPr>
          <w:rFonts w:ascii="Times New Roman" w:hAnsi="Times New Roman"/>
          <w:sz w:val="26"/>
          <w:szCs w:val="26"/>
        </w:rPr>
        <w:t>та</w:t>
      </w:r>
      <w:r w:rsidRPr="009B69B3">
        <w:rPr>
          <w:rFonts w:ascii="Times New Roman" w:hAnsi="Times New Roman"/>
          <w:sz w:val="26"/>
          <w:szCs w:val="26"/>
        </w:rPr>
        <w:t>, в которых выявлены риски нарушения антимонопольного законодательства, рассчитывается по формуле: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noProof/>
          <w:position w:val="-24"/>
          <w:sz w:val="26"/>
          <w:szCs w:val="26"/>
        </w:rPr>
        <w:drawing>
          <wp:inline distT="0" distB="0" distL="0" distR="0" wp14:anchorId="770D34E1" wp14:editId="50B2919A">
            <wp:extent cx="1127125" cy="4679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125" cy="467995"/>
                    </a:xfrm>
                    <a:prstGeom prst="rect">
                      <a:avLst/>
                    </a:prstGeom>
                    <a:noFill/>
                    <a:ln>
                      <a:noFill/>
                    </a:ln>
                  </pic:spPr>
                </pic:pic>
              </a:graphicData>
            </a:graphic>
          </wp:inline>
        </w:drawing>
      </w:r>
      <w:r w:rsidRPr="009B69B3">
        <w:rPr>
          <w:rFonts w:ascii="Times New Roman" w:hAnsi="Times New Roman"/>
          <w:sz w:val="26"/>
          <w:szCs w:val="26"/>
        </w:rPr>
        <w:t>, где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Днпа</w:t>
      </w:r>
      <w:proofErr w:type="spellEnd"/>
      <w:r w:rsidRPr="009B69B3">
        <w:rPr>
          <w:rFonts w:ascii="Times New Roman" w:hAnsi="Times New Roman"/>
          <w:sz w:val="26"/>
          <w:szCs w:val="26"/>
        </w:rPr>
        <w:t xml:space="preserve"> - доля нормативных правовых актов </w:t>
      </w:r>
      <w:r w:rsidR="00D42A5D">
        <w:rPr>
          <w:rFonts w:ascii="Times New Roman" w:hAnsi="Times New Roman"/>
          <w:sz w:val="26"/>
          <w:szCs w:val="26"/>
        </w:rPr>
        <w:t>Департамент</w:t>
      </w:r>
      <w:r w:rsidR="00A8506D">
        <w:rPr>
          <w:rFonts w:ascii="Times New Roman" w:hAnsi="Times New Roman"/>
          <w:sz w:val="26"/>
          <w:szCs w:val="26"/>
        </w:rPr>
        <w:t>а</w:t>
      </w:r>
      <w:r w:rsidRPr="009B69B3">
        <w:rPr>
          <w:rFonts w:ascii="Times New Roman" w:hAnsi="Times New Roman"/>
          <w:sz w:val="26"/>
          <w:szCs w:val="26"/>
        </w:rPr>
        <w:t>, в которых выявлены риски нарушения антимонопольного законодательства;</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Кпнпа</w:t>
      </w:r>
      <w:proofErr w:type="spellEnd"/>
      <w:r w:rsidRPr="009B69B3">
        <w:rPr>
          <w:rFonts w:ascii="Times New Roman" w:hAnsi="Times New Roman"/>
          <w:sz w:val="26"/>
          <w:szCs w:val="26"/>
        </w:rPr>
        <w:t xml:space="preserve"> - количество нормативных правовых актов </w:t>
      </w:r>
      <w:r w:rsidR="00D42A5D">
        <w:rPr>
          <w:rFonts w:ascii="Times New Roman" w:hAnsi="Times New Roman"/>
          <w:sz w:val="26"/>
          <w:szCs w:val="26"/>
        </w:rPr>
        <w:t>Департамен</w:t>
      </w:r>
      <w:r w:rsidR="00A8506D">
        <w:rPr>
          <w:rFonts w:ascii="Times New Roman" w:hAnsi="Times New Roman"/>
          <w:sz w:val="26"/>
          <w:szCs w:val="26"/>
        </w:rPr>
        <w:t>та</w:t>
      </w:r>
      <w:r w:rsidRPr="009B69B3">
        <w:rPr>
          <w:rFonts w:ascii="Times New Roman" w:hAnsi="Times New Roman"/>
          <w:sz w:val="26"/>
          <w:szCs w:val="26"/>
        </w:rPr>
        <w:t xml:space="preserve">, в которых </w:t>
      </w:r>
      <w:r w:rsidR="005636FD">
        <w:rPr>
          <w:rFonts w:ascii="Times New Roman" w:hAnsi="Times New Roman"/>
          <w:sz w:val="26"/>
          <w:szCs w:val="26"/>
        </w:rPr>
        <w:lastRenderedPageBreak/>
        <w:t xml:space="preserve">Департаментом </w:t>
      </w:r>
      <w:r w:rsidR="005636FD" w:rsidRPr="009B69B3">
        <w:rPr>
          <w:rFonts w:ascii="Times New Roman" w:hAnsi="Times New Roman"/>
          <w:sz w:val="26"/>
          <w:szCs w:val="26"/>
        </w:rPr>
        <w:t>выявлены</w:t>
      </w:r>
      <w:r w:rsidRPr="009B69B3">
        <w:rPr>
          <w:rFonts w:ascii="Times New Roman" w:hAnsi="Times New Roman"/>
          <w:sz w:val="26"/>
          <w:szCs w:val="26"/>
        </w:rPr>
        <w:t xml:space="preserve"> риски нарушения антимонопольного законодательства (в отчетном периоде);</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КНоп</w:t>
      </w:r>
      <w:proofErr w:type="spellEnd"/>
      <w:r w:rsidRPr="009B69B3">
        <w:rPr>
          <w:rFonts w:ascii="Times New Roman" w:hAnsi="Times New Roman"/>
          <w:sz w:val="26"/>
          <w:szCs w:val="26"/>
        </w:rPr>
        <w:t xml:space="preserve"> - количество нормативных правовых актов </w:t>
      </w:r>
      <w:r w:rsidR="00D42A5D">
        <w:rPr>
          <w:rFonts w:ascii="Times New Roman" w:hAnsi="Times New Roman"/>
          <w:sz w:val="26"/>
          <w:szCs w:val="26"/>
        </w:rPr>
        <w:t>Департамен</w:t>
      </w:r>
      <w:r w:rsidR="00A8506D">
        <w:rPr>
          <w:rFonts w:ascii="Times New Roman" w:hAnsi="Times New Roman"/>
          <w:sz w:val="26"/>
          <w:szCs w:val="26"/>
        </w:rPr>
        <w:t>та</w:t>
      </w:r>
      <w:r w:rsidRPr="009B69B3">
        <w:rPr>
          <w:rFonts w:ascii="Times New Roman" w:hAnsi="Times New Roman"/>
          <w:sz w:val="26"/>
          <w:szCs w:val="26"/>
        </w:rPr>
        <w:t>, в которых антимонопольным органом выявлены нарушения антимонопольного законодательства (в отчетном периоде).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jc w:val="center"/>
        <w:outlineLvl w:val="1"/>
        <w:rPr>
          <w:rFonts w:ascii="Times New Roman" w:hAnsi="Times New Roman"/>
          <w:b/>
          <w:bCs/>
          <w:sz w:val="26"/>
          <w:szCs w:val="26"/>
        </w:rPr>
      </w:pPr>
      <w:r w:rsidRPr="009B69B3">
        <w:rPr>
          <w:rFonts w:ascii="Times New Roman" w:hAnsi="Times New Roman"/>
          <w:b/>
          <w:bCs/>
          <w:sz w:val="26"/>
          <w:szCs w:val="26"/>
        </w:rPr>
        <w:t>III. Методика расчета ключевых показателей</w:t>
      </w:r>
    </w:p>
    <w:p w:rsidR="009B69B3" w:rsidRPr="009B69B3" w:rsidRDefault="009B69B3" w:rsidP="009B69B3">
      <w:pPr>
        <w:widowControl w:val="0"/>
        <w:autoSpaceDE w:val="0"/>
        <w:autoSpaceDN w:val="0"/>
        <w:adjustRightInd w:val="0"/>
        <w:spacing w:after="0" w:line="240" w:lineRule="auto"/>
        <w:jc w:val="center"/>
        <w:rPr>
          <w:rFonts w:ascii="Times New Roman" w:hAnsi="Times New Roman"/>
          <w:b/>
          <w:bCs/>
          <w:sz w:val="26"/>
          <w:szCs w:val="26"/>
        </w:rPr>
      </w:pPr>
      <w:r w:rsidRPr="009B69B3">
        <w:rPr>
          <w:rFonts w:ascii="Times New Roman" w:hAnsi="Times New Roman"/>
          <w:b/>
          <w:bCs/>
          <w:sz w:val="26"/>
          <w:szCs w:val="26"/>
        </w:rPr>
        <w:t>эффективности функционирования антимонопольного комплаенса</w:t>
      </w:r>
    </w:p>
    <w:p w:rsidR="009B69B3" w:rsidRPr="009B69B3" w:rsidRDefault="009B69B3" w:rsidP="009B69B3">
      <w:pPr>
        <w:widowControl w:val="0"/>
        <w:autoSpaceDE w:val="0"/>
        <w:autoSpaceDN w:val="0"/>
        <w:adjustRightInd w:val="0"/>
        <w:spacing w:after="0" w:line="240" w:lineRule="auto"/>
        <w:jc w:val="center"/>
        <w:rPr>
          <w:rFonts w:ascii="Times New Roman" w:hAnsi="Times New Roman"/>
          <w:b/>
          <w:bCs/>
          <w:sz w:val="26"/>
          <w:szCs w:val="26"/>
        </w:rPr>
      </w:pPr>
      <w:r w:rsidRPr="009B69B3">
        <w:rPr>
          <w:rFonts w:ascii="Times New Roman" w:hAnsi="Times New Roman"/>
          <w:b/>
          <w:bCs/>
          <w:sz w:val="26"/>
          <w:szCs w:val="26"/>
        </w:rPr>
        <w:t>для уполномоченного подразделения (должностного лица)</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sz w:val="26"/>
          <w:szCs w:val="26"/>
        </w:rPr>
        <w:t>7. Для уполномоченного подразделения (должностного лица) рассчитываются следующий КПЭ:</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доля сотрудников </w:t>
      </w:r>
      <w:r w:rsidR="00844801">
        <w:rPr>
          <w:rFonts w:ascii="Times New Roman" w:hAnsi="Times New Roman"/>
          <w:sz w:val="26"/>
          <w:szCs w:val="26"/>
        </w:rPr>
        <w:t>Департамен</w:t>
      </w:r>
      <w:r w:rsidR="00A8506D">
        <w:rPr>
          <w:rFonts w:ascii="Times New Roman" w:hAnsi="Times New Roman"/>
          <w:sz w:val="26"/>
          <w:szCs w:val="26"/>
        </w:rPr>
        <w:t>та</w:t>
      </w:r>
      <w:r w:rsidRPr="009B69B3">
        <w:rPr>
          <w:rFonts w:ascii="Times New Roman" w:hAnsi="Times New Roman"/>
          <w:sz w:val="26"/>
          <w:szCs w:val="26"/>
        </w:rPr>
        <w:t xml:space="preserve">, в отношении которых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8. Доля сотрудников </w:t>
      </w:r>
      <w:r w:rsidR="00844801">
        <w:rPr>
          <w:rFonts w:ascii="Times New Roman" w:hAnsi="Times New Roman"/>
          <w:sz w:val="26"/>
          <w:szCs w:val="26"/>
        </w:rPr>
        <w:t>Департамен</w:t>
      </w:r>
      <w:r w:rsidR="004139D7">
        <w:rPr>
          <w:rFonts w:ascii="Times New Roman" w:hAnsi="Times New Roman"/>
          <w:sz w:val="26"/>
          <w:szCs w:val="26"/>
        </w:rPr>
        <w:t>та</w:t>
      </w:r>
      <w:r w:rsidRPr="009B69B3">
        <w:rPr>
          <w:rFonts w:ascii="Times New Roman" w:hAnsi="Times New Roman"/>
          <w:sz w:val="26"/>
          <w:szCs w:val="26"/>
        </w:rPr>
        <w:t xml:space="preserve">, с которыми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 рассчитывается по формуле: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noProof/>
          <w:position w:val="-26"/>
          <w:sz w:val="26"/>
          <w:szCs w:val="26"/>
        </w:rPr>
        <w:drawing>
          <wp:inline distT="0" distB="0" distL="0" distR="0" wp14:anchorId="6D889024" wp14:editId="2B0EB50F">
            <wp:extent cx="1190625" cy="48895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488950"/>
                    </a:xfrm>
                    <a:prstGeom prst="rect">
                      <a:avLst/>
                    </a:prstGeom>
                    <a:noFill/>
                    <a:ln>
                      <a:noFill/>
                    </a:ln>
                  </pic:spPr>
                </pic:pic>
              </a:graphicData>
            </a:graphic>
          </wp:inline>
        </w:drawing>
      </w:r>
      <w:r w:rsidRPr="009B69B3">
        <w:rPr>
          <w:rFonts w:ascii="Times New Roman" w:hAnsi="Times New Roman"/>
          <w:sz w:val="26"/>
          <w:szCs w:val="26"/>
        </w:rPr>
        <w:t>, где</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ДСо</w:t>
      </w:r>
      <w:proofErr w:type="spellEnd"/>
      <w:r w:rsidRPr="009B69B3">
        <w:rPr>
          <w:rFonts w:ascii="Times New Roman" w:hAnsi="Times New Roman"/>
          <w:sz w:val="26"/>
          <w:szCs w:val="26"/>
        </w:rPr>
        <w:t xml:space="preserve"> - доля сотрудников </w:t>
      </w:r>
      <w:r w:rsidR="00844801">
        <w:rPr>
          <w:rFonts w:ascii="Times New Roman" w:hAnsi="Times New Roman"/>
          <w:sz w:val="26"/>
          <w:szCs w:val="26"/>
        </w:rPr>
        <w:t>Департамента</w:t>
      </w:r>
      <w:r w:rsidRPr="009B69B3">
        <w:rPr>
          <w:rFonts w:ascii="Times New Roman" w:hAnsi="Times New Roman"/>
          <w:sz w:val="26"/>
          <w:szCs w:val="26"/>
        </w:rPr>
        <w:t xml:space="preserve">, с которыми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КСо</w:t>
      </w:r>
      <w:proofErr w:type="spellEnd"/>
      <w:r w:rsidRPr="009B69B3">
        <w:rPr>
          <w:rFonts w:ascii="Times New Roman" w:hAnsi="Times New Roman"/>
          <w:sz w:val="26"/>
          <w:szCs w:val="26"/>
        </w:rPr>
        <w:t xml:space="preserve"> - количество сотрудников </w:t>
      </w:r>
      <w:r w:rsidR="00844801">
        <w:rPr>
          <w:rFonts w:ascii="Times New Roman" w:hAnsi="Times New Roman"/>
          <w:sz w:val="26"/>
          <w:szCs w:val="26"/>
        </w:rPr>
        <w:t>Департамент</w:t>
      </w:r>
      <w:r w:rsidR="004139D7">
        <w:rPr>
          <w:rFonts w:ascii="Times New Roman" w:hAnsi="Times New Roman"/>
          <w:sz w:val="26"/>
          <w:szCs w:val="26"/>
        </w:rPr>
        <w:t>а</w:t>
      </w:r>
      <w:r w:rsidRPr="009B69B3">
        <w:rPr>
          <w:rFonts w:ascii="Times New Roman" w:hAnsi="Times New Roman"/>
          <w:sz w:val="26"/>
          <w:szCs w:val="26"/>
        </w:rPr>
        <w:t xml:space="preserve">, с которыми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proofErr w:type="spellStart"/>
      <w:r w:rsidRPr="009B69B3">
        <w:rPr>
          <w:rFonts w:ascii="Times New Roman" w:hAnsi="Times New Roman"/>
          <w:sz w:val="26"/>
          <w:szCs w:val="26"/>
        </w:rPr>
        <w:t>КСобщ</w:t>
      </w:r>
      <w:proofErr w:type="spellEnd"/>
      <w:r w:rsidRPr="009B69B3">
        <w:rPr>
          <w:rFonts w:ascii="Times New Roman" w:hAnsi="Times New Roman"/>
          <w:sz w:val="26"/>
          <w:szCs w:val="26"/>
        </w:rPr>
        <w:t xml:space="preserve"> - общее количество сотрудников </w:t>
      </w:r>
      <w:r w:rsidR="00844801">
        <w:rPr>
          <w:rFonts w:ascii="Times New Roman" w:hAnsi="Times New Roman"/>
          <w:sz w:val="26"/>
          <w:szCs w:val="26"/>
        </w:rPr>
        <w:t>Департамен</w:t>
      </w:r>
      <w:r w:rsidR="004139D7">
        <w:rPr>
          <w:rFonts w:ascii="Times New Roman" w:hAnsi="Times New Roman"/>
          <w:sz w:val="26"/>
          <w:szCs w:val="26"/>
        </w:rPr>
        <w:t>та</w:t>
      </w:r>
      <w:r w:rsidRPr="009B69B3">
        <w:rPr>
          <w:rFonts w:ascii="Times New Roman" w:hAnsi="Times New Roman"/>
          <w:sz w:val="26"/>
          <w:szCs w:val="26"/>
        </w:rPr>
        <w:t>, чьи трудовые (должностные) обязанности предусматривают выполнение функций, связанных с рисками нарушения антимонопольного законодательства.</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4139D7">
      <w:pPr>
        <w:widowControl w:val="0"/>
        <w:autoSpaceDE w:val="0"/>
        <w:autoSpaceDN w:val="0"/>
        <w:adjustRightInd w:val="0"/>
        <w:spacing w:after="0" w:line="240" w:lineRule="auto"/>
        <w:jc w:val="center"/>
        <w:outlineLvl w:val="1"/>
        <w:rPr>
          <w:rFonts w:ascii="Times New Roman" w:hAnsi="Times New Roman"/>
          <w:b/>
          <w:bCs/>
          <w:sz w:val="26"/>
          <w:szCs w:val="26"/>
        </w:rPr>
      </w:pPr>
      <w:r w:rsidRPr="009B69B3">
        <w:rPr>
          <w:rFonts w:ascii="Times New Roman" w:hAnsi="Times New Roman"/>
          <w:b/>
          <w:bCs/>
          <w:sz w:val="26"/>
          <w:szCs w:val="26"/>
        </w:rPr>
        <w:t xml:space="preserve">IV. Оценка значений КПЭ для </w:t>
      </w:r>
      <w:r w:rsidR="00844801">
        <w:rPr>
          <w:rFonts w:ascii="Times New Roman" w:hAnsi="Times New Roman"/>
          <w:b/>
          <w:bCs/>
          <w:sz w:val="26"/>
          <w:szCs w:val="26"/>
        </w:rPr>
        <w:t>Департамента культуры и туризма</w:t>
      </w:r>
      <w:r w:rsidR="004139D7">
        <w:rPr>
          <w:rFonts w:ascii="Times New Roman" w:hAnsi="Times New Roman"/>
          <w:b/>
          <w:bCs/>
          <w:sz w:val="26"/>
          <w:szCs w:val="26"/>
        </w:rPr>
        <w:t xml:space="preserve"> Чукотского автономного округа </w:t>
      </w:r>
      <w:r w:rsidRPr="009B69B3">
        <w:rPr>
          <w:rFonts w:ascii="Times New Roman" w:hAnsi="Times New Roman"/>
          <w:b/>
          <w:bCs/>
          <w:sz w:val="26"/>
          <w:szCs w:val="26"/>
        </w:rPr>
        <w:t>в целом и КПЭ для уполномоченного</w:t>
      </w:r>
    </w:p>
    <w:p w:rsidR="009B69B3" w:rsidRPr="009B69B3" w:rsidRDefault="009B69B3" w:rsidP="009B69B3">
      <w:pPr>
        <w:widowControl w:val="0"/>
        <w:autoSpaceDE w:val="0"/>
        <w:autoSpaceDN w:val="0"/>
        <w:adjustRightInd w:val="0"/>
        <w:spacing w:after="0" w:line="240" w:lineRule="auto"/>
        <w:jc w:val="center"/>
        <w:rPr>
          <w:rFonts w:ascii="Times New Roman" w:hAnsi="Times New Roman"/>
          <w:b/>
          <w:bCs/>
          <w:sz w:val="26"/>
          <w:szCs w:val="26"/>
        </w:rPr>
      </w:pPr>
      <w:r w:rsidRPr="009B69B3">
        <w:rPr>
          <w:rFonts w:ascii="Times New Roman" w:hAnsi="Times New Roman"/>
          <w:b/>
          <w:bCs/>
          <w:sz w:val="26"/>
          <w:szCs w:val="26"/>
        </w:rPr>
        <w:t>подразделения (должностного лица)</w:t>
      </w:r>
    </w:p>
    <w:p w:rsidR="009B69B3" w:rsidRPr="009B69B3" w:rsidRDefault="009B69B3" w:rsidP="009B69B3">
      <w:pPr>
        <w:widowControl w:val="0"/>
        <w:autoSpaceDE w:val="0"/>
        <w:autoSpaceDN w:val="0"/>
        <w:adjustRightInd w:val="0"/>
        <w:spacing w:after="0" w:line="240" w:lineRule="auto"/>
        <w:jc w:val="both"/>
        <w:rPr>
          <w:rFonts w:ascii="Times New Roman" w:hAnsi="Times New Roman"/>
          <w:sz w:val="26"/>
          <w:szCs w:val="26"/>
        </w:rPr>
      </w:pPr>
    </w:p>
    <w:p w:rsidR="009B69B3" w:rsidRPr="009B69B3" w:rsidRDefault="009B69B3" w:rsidP="009B69B3">
      <w:pPr>
        <w:widowControl w:val="0"/>
        <w:autoSpaceDE w:val="0"/>
        <w:autoSpaceDN w:val="0"/>
        <w:adjustRightInd w:val="0"/>
        <w:spacing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9. Оценка значений КПЭ </w:t>
      </w:r>
      <w:r w:rsidR="004139D7">
        <w:rPr>
          <w:rFonts w:ascii="Times New Roman" w:hAnsi="Times New Roman"/>
          <w:sz w:val="26"/>
          <w:szCs w:val="26"/>
        </w:rPr>
        <w:t>«</w:t>
      </w:r>
      <w:r w:rsidRPr="009B69B3">
        <w:rPr>
          <w:rFonts w:ascii="Times New Roman" w:hAnsi="Times New Roman"/>
          <w:sz w:val="26"/>
          <w:szCs w:val="26"/>
        </w:rPr>
        <w:t xml:space="preserve">коэффициент снижения количества нарушений антимонопольного законодательства со стороны </w:t>
      </w:r>
      <w:r w:rsidR="006E4E5F">
        <w:rPr>
          <w:rFonts w:ascii="Times New Roman" w:hAnsi="Times New Roman"/>
          <w:sz w:val="26"/>
          <w:szCs w:val="26"/>
        </w:rPr>
        <w:t>Департамента</w:t>
      </w:r>
      <w:r w:rsidR="003E669C">
        <w:rPr>
          <w:rFonts w:ascii="Times New Roman" w:hAnsi="Times New Roman"/>
          <w:sz w:val="26"/>
          <w:szCs w:val="26"/>
        </w:rPr>
        <w:t xml:space="preserve"> по сравнению с предыдущим годом</w:t>
      </w:r>
      <w:r w:rsidR="004139D7">
        <w:rPr>
          <w:rFonts w:ascii="Times New Roman" w:hAnsi="Times New Roman"/>
          <w:sz w:val="26"/>
          <w:szCs w:val="26"/>
        </w:rPr>
        <w:t>»</w:t>
      </w:r>
      <w:r w:rsidRPr="009B69B3">
        <w:rPr>
          <w:rFonts w:ascii="Times New Roman" w:hAnsi="Times New Roman"/>
          <w:sz w:val="26"/>
          <w:szCs w:val="26"/>
        </w:rPr>
        <w:t>.</w:t>
      </w:r>
    </w:p>
    <w:p w:rsidR="009B69B3" w:rsidRPr="00BC6743" w:rsidRDefault="00BC674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Pr>
          <w:rFonts w:ascii="Times New Roman" w:hAnsi="Times New Roman"/>
          <w:sz w:val="26"/>
          <w:szCs w:val="26"/>
        </w:rPr>
        <w:t>Ежегодная оценка значения КПЭ «</w:t>
      </w:r>
      <w:r w:rsidR="009B69B3" w:rsidRPr="009B69B3">
        <w:rPr>
          <w:rFonts w:ascii="Times New Roman" w:hAnsi="Times New Roman"/>
          <w:sz w:val="26"/>
          <w:szCs w:val="26"/>
        </w:rPr>
        <w:t xml:space="preserve">коэффициент снижения количества нарушений антимонопольного законодательства со стороны </w:t>
      </w:r>
      <w:r w:rsidR="00743543">
        <w:rPr>
          <w:rFonts w:ascii="Times New Roman" w:hAnsi="Times New Roman"/>
          <w:sz w:val="26"/>
          <w:szCs w:val="26"/>
        </w:rPr>
        <w:t>Департамен</w:t>
      </w:r>
      <w:r w:rsidR="003E669C">
        <w:rPr>
          <w:rFonts w:ascii="Times New Roman" w:hAnsi="Times New Roman"/>
          <w:sz w:val="26"/>
          <w:szCs w:val="26"/>
        </w:rPr>
        <w:t>та по сравнению с предыдущим</w:t>
      </w:r>
      <w:r>
        <w:rPr>
          <w:rFonts w:ascii="Times New Roman" w:hAnsi="Times New Roman"/>
          <w:sz w:val="26"/>
          <w:szCs w:val="26"/>
        </w:rPr>
        <w:t xml:space="preserve"> годом</w:t>
      </w:r>
      <w:r w:rsidRPr="00BC6743">
        <w:rPr>
          <w:rFonts w:ascii="Times New Roman" w:hAnsi="Times New Roman"/>
          <w:sz w:val="26"/>
          <w:szCs w:val="26"/>
        </w:rPr>
        <w:t xml:space="preserve">» </w:t>
      </w:r>
      <w:r w:rsidR="009B69B3" w:rsidRPr="00BC6743">
        <w:rPr>
          <w:rFonts w:ascii="Times New Roman" w:hAnsi="Times New Roman"/>
          <w:sz w:val="26"/>
          <w:szCs w:val="26"/>
        </w:rPr>
        <w:t xml:space="preserve">призвана обеспечить понимание об эффективности функционирования антимонопольного комплаенса в органе исполнительной власти и о соответствии мероприятий антимонопольного комплаенса органа исполнительной власти направлениям совершенствования государственной политики по развитию </w:t>
      </w:r>
      <w:r w:rsidR="009B69B3" w:rsidRPr="00BC6743">
        <w:rPr>
          <w:rFonts w:ascii="Times New Roman" w:hAnsi="Times New Roman"/>
          <w:sz w:val="26"/>
          <w:szCs w:val="26"/>
        </w:rPr>
        <w:lastRenderedPageBreak/>
        <w:t xml:space="preserve">конкуренции, установленных Национальным </w:t>
      </w:r>
      <w:hyperlink r:id="rId11" w:history="1">
        <w:r w:rsidR="009B69B3" w:rsidRPr="00BC6743">
          <w:rPr>
            <w:rFonts w:ascii="Times New Roman" w:hAnsi="Times New Roman"/>
            <w:sz w:val="26"/>
            <w:szCs w:val="26"/>
          </w:rPr>
          <w:t>планом</w:t>
        </w:r>
      </w:hyperlink>
      <w:r w:rsidR="009B69B3" w:rsidRPr="00BC6743">
        <w:rPr>
          <w:rFonts w:ascii="Times New Roman" w:hAnsi="Times New Roman"/>
          <w:sz w:val="26"/>
          <w:szCs w:val="26"/>
        </w:rPr>
        <w:t>.</w:t>
      </w:r>
    </w:p>
    <w:p w:rsidR="009B69B3" w:rsidRPr="00BC6743" w:rsidRDefault="00BC674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BC6743">
        <w:rPr>
          <w:rFonts w:ascii="Times New Roman" w:hAnsi="Times New Roman"/>
          <w:sz w:val="26"/>
          <w:szCs w:val="26"/>
        </w:rPr>
        <w:t>10. Оценка значений КПЭ «</w:t>
      </w:r>
      <w:r w:rsidR="009B69B3" w:rsidRPr="00BC6743">
        <w:rPr>
          <w:rFonts w:ascii="Times New Roman" w:hAnsi="Times New Roman"/>
          <w:sz w:val="26"/>
          <w:szCs w:val="26"/>
        </w:rPr>
        <w:t xml:space="preserve">доля проектов нормативных правовых актов </w:t>
      </w:r>
      <w:r w:rsidR="00743543">
        <w:rPr>
          <w:rFonts w:ascii="Times New Roman" w:hAnsi="Times New Roman"/>
          <w:sz w:val="26"/>
          <w:szCs w:val="26"/>
        </w:rPr>
        <w:t>Департамен</w:t>
      </w:r>
      <w:r w:rsidRPr="00BC6743">
        <w:rPr>
          <w:rFonts w:ascii="Times New Roman" w:hAnsi="Times New Roman"/>
          <w:sz w:val="26"/>
          <w:szCs w:val="26"/>
        </w:rPr>
        <w:t>та</w:t>
      </w:r>
      <w:r w:rsidR="009B69B3" w:rsidRPr="00BC6743">
        <w:rPr>
          <w:rFonts w:ascii="Times New Roman" w:hAnsi="Times New Roman"/>
          <w:sz w:val="26"/>
          <w:szCs w:val="26"/>
        </w:rPr>
        <w:t>, в которых выявлены риски нарушения ан</w:t>
      </w:r>
      <w:r w:rsidRPr="00BC6743">
        <w:rPr>
          <w:rFonts w:ascii="Times New Roman" w:hAnsi="Times New Roman"/>
          <w:sz w:val="26"/>
          <w:szCs w:val="26"/>
        </w:rPr>
        <w:t>тимонопольного законодательства»</w:t>
      </w:r>
      <w:r w:rsidR="009B69B3" w:rsidRPr="00BC6743">
        <w:rPr>
          <w:rFonts w:ascii="Times New Roman" w:hAnsi="Times New Roman"/>
          <w:sz w:val="26"/>
          <w:szCs w:val="26"/>
        </w:rPr>
        <w:t xml:space="preserve"> и </w:t>
      </w:r>
      <w:r w:rsidRPr="00BC6743">
        <w:rPr>
          <w:rFonts w:ascii="Times New Roman" w:hAnsi="Times New Roman"/>
          <w:sz w:val="26"/>
          <w:szCs w:val="26"/>
        </w:rPr>
        <w:t>«</w:t>
      </w:r>
      <w:r w:rsidR="009B69B3" w:rsidRPr="00BC6743">
        <w:rPr>
          <w:rFonts w:ascii="Times New Roman" w:hAnsi="Times New Roman"/>
          <w:sz w:val="26"/>
          <w:szCs w:val="26"/>
        </w:rPr>
        <w:t xml:space="preserve">доля нормативных правовых актов </w:t>
      </w:r>
      <w:r w:rsidR="00743543">
        <w:rPr>
          <w:rFonts w:ascii="Times New Roman" w:hAnsi="Times New Roman"/>
          <w:sz w:val="26"/>
          <w:szCs w:val="26"/>
        </w:rPr>
        <w:t>Департамент</w:t>
      </w:r>
      <w:r w:rsidRPr="00BC6743">
        <w:rPr>
          <w:rFonts w:ascii="Times New Roman" w:hAnsi="Times New Roman"/>
          <w:sz w:val="26"/>
          <w:szCs w:val="26"/>
        </w:rPr>
        <w:t>а</w:t>
      </w:r>
      <w:r w:rsidR="009B69B3" w:rsidRPr="00BC6743">
        <w:rPr>
          <w:rFonts w:ascii="Times New Roman" w:hAnsi="Times New Roman"/>
          <w:sz w:val="26"/>
          <w:szCs w:val="26"/>
        </w:rPr>
        <w:t>, в которых выявлены риски нарушения ан</w:t>
      </w:r>
      <w:r w:rsidRPr="00BC6743">
        <w:rPr>
          <w:rFonts w:ascii="Times New Roman" w:hAnsi="Times New Roman"/>
          <w:sz w:val="26"/>
          <w:szCs w:val="26"/>
        </w:rPr>
        <w:t>тимонопольного законодательства»</w:t>
      </w:r>
      <w:r w:rsidR="009B69B3" w:rsidRPr="00BC6743">
        <w:rPr>
          <w:rFonts w:ascii="Times New Roman" w:hAnsi="Times New Roman"/>
          <w:sz w:val="26"/>
          <w:szCs w:val="26"/>
        </w:rPr>
        <w:t>.</w:t>
      </w:r>
    </w:p>
    <w:p w:rsidR="009B69B3" w:rsidRPr="00BC674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BC6743">
        <w:rPr>
          <w:rFonts w:ascii="Times New Roman" w:hAnsi="Times New Roman"/>
          <w:sz w:val="26"/>
          <w:szCs w:val="26"/>
        </w:rPr>
        <w:t xml:space="preserve">Оценка вышеуказанных значений КПЭ направлена на понимание эффективности мероприятий антимонопольного комплаенса, предусмотренных </w:t>
      </w:r>
      <w:hyperlink r:id="rId12" w:history="1">
        <w:r w:rsidR="00BC6743" w:rsidRPr="00BC6743">
          <w:rPr>
            <w:rFonts w:ascii="Times New Roman" w:hAnsi="Times New Roman"/>
            <w:sz w:val="26"/>
            <w:szCs w:val="26"/>
          </w:rPr>
          <w:t>подпунктами «</w:t>
        </w:r>
        <w:r w:rsidRPr="00BC6743">
          <w:rPr>
            <w:rFonts w:ascii="Times New Roman" w:hAnsi="Times New Roman"/>
            <w:sz w:val="26"/>
            <w:szCs w:val="26"/>
          </w:rPr>
          <w:t>б</w:t>
        </w:r>
      </w:hyperlink>
      <w:r w:rsidR="00BC6743" w:rsidRPr="00BC6743">
        <w:rPr>
          <w:rFonts w:ascii="Times New Roman" w:hAnsi="Times New Roman"/>
          <w:sz w:val="26"/>
          <w:szCs w:val="26"/>
        </w:rPr>
        <w:t>»</w:t>
      </w:r>
      <w:r w:rsidRPr="00BC6743">
        <w:rPr>
          <w:rFonts w:ascii="Times New Roman" w:hAnsi="Times New Roman"/>
          <w:sz w:val="26"/>
          <w:szCs w:val="26"/>
        </w:rPr>
        <w:t xml:space="preserve"> и </w:t>
      </w:r>
      <w:hyperlink r:id="rId13" w:history="1">
        <w:r w:rsidR="00BC6743" w:rsidRPr="00BC6743">
          <w:rPr>
            <w:rFonts w:ascii="Times New Roman" w:hAnsi="Times New Roman"/>
            <w:sz w:val="26"/>
            <w:szCs w:val="26"/>
          </w:rPr>
          <w:t>«в»</w:t>
        </w:r>
        <w:r w:rsidRPr="00BC6743">
          <w:rPr>
            <w:rFonts w:ascii="Times New Roman" w:hAnsi="Times New Roman"/>
            <w:sz w:val="26"/>
            <w:szCs w:val="26"/>
          </w:rPr>
          <w:t xml:space="preserve"> пункта 15</w:t>
        </w:r>
      </w:hyperlink>
      <w:r w:rsidRPr="00BC6743">
        <w:rPr>
          <w:rFonts w:ascii="Times New Roman" w:hAnsi="Times New Roman"/>
          <w:sz w:val="26"/>
          <w:szCs w:val="26"/>
        </w:rPr>
        <w:t xml:space="preserve"> Методических рекомендаций.</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При эффективном проведении мероприятий по анализу нормативных правовых актов </w:t>
      </w:r>
      <w:r w:rsidR="00814545">
        <w:rPr>
          <w:rFonts w:ascii="Times New Roman" w:hAnsi="Times New Roman"/>
          <w:sz w:val="26"/>
          <w:szCs w:val="26"/>
        </w:rPr>
        <w:t>Департамента культуры, спорта и туризма</w:t>
      </w:r>
      <w:r w:rsidR="000506B2">
        <w:rPr>
          <w:rFonts w:ascii="Times New Roman" w:hAnsi="Times New Roman"/>
          <w:sz w:val="26"/>
          <w:szCs w:val="26"/>
        </w:rPr>
        <w:t xml:space="preserve"> Чукотского автономного округа</w:t>
      </w:r>
      <w:r w:rsidRPr="009B69B3">
        <w:rPr>
          <w:rFonts w:ascii="Times New Roman" w:hAnsi="Times New Roman"/>
          <w:sz w:val="26"/>
          <w:szCs w:val="26"/>
        </w:rPr>
        <w:t xml:space="preserve">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w:t>
      </w:r>
      <w:r w:rsidR="00814545">
        <w:rPr>
          <w:rFonts w:ascii="Times New Roman" w:hAnsi="Times New Roman"/>
          <w:sz w:val="26"/>
          <w:szCs w:val="26"/>
        </w:rPr>
        <w:t>Департамента</w:t>
      </w:r>
      <w:r w:rsidRPr="009B69B3">
        <w:rPr>
          <w:rFonts w:ascii="Times New Roman" w:hAnsi="Times New Roman"/>
          <w:sz w:val="26"/>
          <w:szCs w:val="26"/>
        </w:rPr>
        <w:t>,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9B69B3" w:rsidRP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11.</w:t>
      </w:r>
      <w:r w:rsidR="0063727C">
        <w:rPr>
          <w:rFonts w:ascii="Times New Roman" w:hAnsi="Times New Roman"/>
          <w:sz w:val="26"/>
          <w:szCs w:val="26"/>
        </w:rPr>
        <w:t xml:space="preserve"> Оценка значения КПЭ «</w:t>
      </w:r>
      <w:r w:rsidRPr="009B69B3">
        <w:rPr>
          <w:rFonts w:ascii="Times New Roman" w:hAnsi="Times New Roman"/>
          <w:sz w:val="26"/>
          <w:szCs w:val="26"/>
        </w:rPr>
        <w:t xml:space="preserve">сотрудников </w:t>
      </w:r>
      <w:r w:rsidR="00814545">
        <w:rPr>
          <w:rFonts w:ascii="Times New Roman" w:hAnsi="Times New Roman"/>
          <w:sz w:val="26"/>
          <w:szCs w:val="26"/>
        </w:rPr>
        <w:t>Департамента</w:t>
      </w:r>
      <w:r w:rsidRPr="009B69B3">
        <w:rPr>
          <w:rFonts w:ascii="Times New Roman" w:hAnsi="Times New Roman"/>
          <w:sz w:val="26"/>
          <w:szCs w:val="26"/>
        </w:rPr>
        <w:t>, с которыми были проведены обучающие мероприятия по антимонопольному законодательств</w:t>
      </w:r>
      <w:r w:rsidR="0063727C">
        <w:rPr>
          <w:rFonts w:ascii="Times New Roman" w:hAnsi="Times New Roman"/>
          <w:sz w:val="26"/>
          <w:szCs w:val="26"/>
        </w:rPr>
        <w:t xml:space="preserve">у и антимонопольному </w:t>
      </w:r>
      <w:proofErr w:type="spellStart"/>
      <w:r w:rsidR="0063727C">
        <w:rPr>
          <w:rFonts w:ascii="Times New Roman" w:hAnsi="Times New Roman"/>
          <w:sz w:val="26"/>
          <w:szCs w:val="26"/>
        </w:rPr>
        <w:t>комплаенсу</w:t>
      </w:r>
      <w:proofErr w:type="spellEnd"/>
      <w:r w:rsidR="0063727C">
        <w:rPr>
          <w:rFonts w:ascii="Times New Roman" w:hAnsi="Times New Roman"/>
          <w:sz w:val="26"/>
          <w:szCs w:val="26"/>
        </w:rPr>
        <w:t>»</w:t>
      </w:r>
      <w:r w:rsidRPr="009B69B3">
        <w:rPr>
          <w:rFonts w:ascii="Times New Roman" w:hAnsi="Times New Roman"/>
          <w:sz w:val="26"/>
          <w:szCs w:val="26"/>
        </w:rPr>
        <w:t>.</w:t>
      </w:r>
    </w:p>
    <w:p w:rsidR="009B69B3" w:rsidRPr="00DA415A"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Консультирование и обучение служащих </w:t>
      </w:r>
      <w:r w:rsidR="000C3B90">
        <w:rPr>
          <w:rFonts w:ascii="Times New Roman" w:hAnsi="Times New Roman"/>
          <w:sz w:val="26"/>
          <w:szCs w:val="26"/>
        </w:rPr>
        <w:t xml:space="preserve">Департамента </w:t>
      </w:r>
      <w:r w:rsidRPr="009B69B3">
        <w:rPr>
          <w:rFonts w:ascii="Times New Roman" w:hAnsi="Times New Roman"/>
          <w:sz w:val="26"/>
          <w:szCs w:val="26"/>
        </w:rPr>
        <w:t xml:space="preserve">по вопросам, связанным с соблюдением </w:t>
      </w:r>
      <w:r w:rsidRPr="00DA415A">
        <w:rPr>
          <w:rFonts w:ascii="Times New Roman" w:hAnsi="Times New Roman"/>
          <w:sz w:val="26"/>
          <w:szCs w:val="26"/>
        </w:rPr>
        <w:t xml:space="preserve">антимонопольного законодательства и антимонопольным </w:t>
      </w:r>
      <w:proofErr w:type="spellStart"/>
      <w:r w:rsidRPr="00DA415A">
        <w:rPr>
          <w:rFonts w:ascii="Times New Roman" w:hAnsi="Times New Roman"/>
          <w:sz w:val="26"/>
          <w:szCs w:val="26"/>
        </w:rPr>
        <w:t>комплаенсом</w:t>
      </w:r>
      <w:proofErr w:type="spellEnd"/>
      <w:r w:rsidRPr="00DA415A">
        <w:rPr>
          <w:rFonts w:ascii="Times New Roman" w:hAnsi="Times New Roman"/>
          <w:sz w:val="26"/>
          <w:szCs w:val="26"/>
        </w:rPr>
        <w:t xml:space="preserve">, отнесено к компетенции уполномоченного подразделения (должностного лица) согласно </w:t>
      </w:r>
      <w:hyperlink r:id="rId14" w:history="1">
        <w:r w:rsidRPr="00DA415A">
          <w:rPr>
            <w:rFonts w:ascii="Times New Roman" w:hAnsi="Times New Roman"/>
            <w:sz w:val="26"/>
            <w:szCs w:val="26"/>
          </w:rPr>
          <w:t xml:space="preserve">подпункту </w:t>
        </w:r>
        <w:r w:rsidR="00DA415A" w:rsidRPr="00DA415A">
          <w:rPr>
            <w:rFonts w:ascii="Times New Roman" w:hAnsi="Times New Roman"/>
            <w:sz w:val="26"/>
            <w:szCs w:val="26"/>
          </w:rPr>
          <w:t>«г»</w:t>
        </w:r>
        <w:r w:rsidRPr="00DA415A">
          <w:rPr>
            <w:rFonts w:ascii="Times New Roman" w:hAnsi="Times New Roman"/>
            <w:sz w:val="26"/>
            <w:szCs w:val="26"/>
          </w:rPr>
          <w:t xml:space="preserve"> пункта 11</w:t>
        </w:r>
      </w:hyperlink>
      <w:r w:rsidRPr="00DA415A">
        <w:rPr>
          <w:rFonts w:ascii="Times New Roman" w:hAnsi="Times New Roman"/>
          <w:sz w:val="26"/>
          <w:szCs w:val="26"/>
        </w:rPr>
        <w:t xml:space="preserve"> 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 В том числе от эффективности работы уполномоченного подразделения (должностного лица) по данному направлению напрямую зависит возможность достижения целей Национального плана, предусмотренных </w:t>
      </w:r>
      <w:hyperlink r:id="rId15" w:history="1">
        <w:r w:rsidR="00DA415A" w:rsidRPr="00DA415A">
          <w:rPr>
            <w:rFonts w:ascii="Times New Roman" w:hAnsi="Times New Roman"/>
            <w:sz w:val="26"/>
            <w:szCs w:val="26"/>
          </w:rPr>
          <w:t>подпунктом «б»</w:t>
        </w:r>
        <w:r w:rsidRPr="00DA415A">
          <w:rPr>
            <w:rFonts w:ascii="Times New Roman" w:hAnsi="Times New Roman"/>
            <w:sz w:val="26"/>
            <w:szCs w:val="26"/>
          </w:rPr>
          <w:t xml:space="preserve"> пункта 1</w:t>
        </w:r>
      </w:hyperlink>
      <w:r w:rsidRPr="00DA415A">
        <w:rPr>
          <w:rFonts w:ascii="Times New Roman" w:hAnsi="Times New Roman"/>
          <w:sz w:val="26"/>
          <w:szCs w:val="26"/>
        </w:rPr>
        <w:t xml:space="preserve"> Национального плана.</w:t>
      </w:r>
    </w:p>
    <w:p w:rsidR="009B69B3" w:rsidRDefault="009B69B3" w:rsidP="009B69B3">
      <w:pPr>
        <w:widowControl w:val="0"/>
        <w:autoSpaceDE w:val="0"/>
        <w:autoSpaceDN w:val="0"/>
        <w:adjustRightInd w:val="0"/>
        <w:spacing w:before="240" w:after="0" w:line="240" w:lineRule="auto"/>
        <w:ind w:firstLine="540"/>
        <w:jc w:val="both"/>
        <w:rPr>
          <w:rFonts w:ascii="Times New Roman" w:hAnsi="Times New Roman"/>
          <w:sz w:val="26"/>
          <w:szCs w:val="26"/>
        </w:rPr>
      </w:pPr>
      <w:r w:rsidRPr="009B69B3">
        <w:rPr>
          <w:rFonts w:ascii="Times New Roman" w:hAnsi="Times New Roman"/>
          <w:sz w:val="26"/>
          <w:szCs w:val="26"/>
        </w:rPr>
        <w:t xml:space="preserve">Расчет данного показателя предусматривает определение сотрудников </w:t>
      </w:r>
      <w:r w:rsidR="000C3B90">
        <w:rPr>
          <w:rFonts w:ascii="Times New Roman" w:hAnsi="Times New Roman"/>
          <w:sz w:val="26"/>
          <w:szCs w:val="26"/>
        </w:rPr>
        <w:t>Департамента</w:t>
      </w:r>
      <w:r w:rsidRPr="009B69B3">
        <w:rPr>
          <w:rFonts w:ascii="Times New Roman" w:hAnsi="Times New Roman"/>
          <w:sz w:val="26"/>
          <w:szCs w:val="26"/>
        </w:rPr>
        <w:t xml:space="preserve">,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 xml:space="preserve">. Высокое значение количества сотрудников, с которыми были проведены обучающие мероприятия по антимонопольному законодательству и антимонопольному </w:t>
      </w:r>
      <w:proofErr w:type="spellStart"/>
      <w:r w:rsidRPr="009B69B3">
        <w:rPr>
          <w:rFonts w:ascii="Times New Roman" w:hAnsi="Times New Roman"/>
          <w:sz w:val="26"/>
          <w:szCs w:val="26"/>
        </w:rPr>
        <w:t>комплаенсу</w:t>
      </w:r>
      <w:proofErr w:type="spellEnd"/>
      <w:r w:rsidRPr="009B69B3">
        <w:rPr>
          <w:rFonts w:ascii="Times New Roman" w:hAnsi="Times New Roman"/>
          <w:sz w:val="26"/>
          <w:szCs w:val="26"/>
        </w:rPr>
        <w:t xml:space="preserve"> (числитель), обеспечивает высокое значение КПЭ.</w:t>
      </w:r>
    </w:p>
    <w:p w:rsidR="00BA0485" w:rsidRDefault="00BA0485" w:rsidP="009B69B3">
      <w:pPr>
        <w:widowControl w:val="0"/>
        <w:autoSpaceDE w:val="0"/>
        <w:autoSpaceDN w:val="0"/>
        <w:adjustRightInd w:val="0"/>
        <w:spacing w:before="240" w:after="0" w:line="240" w:lineRule="auto"/>
        <w:ind w:firstLine="540"/>
        <w:jc w:val="both"/>
        <w:rPr>
          <w:rFonts w:ascii="Times New Roman" w:hAnsi="Times New Roman"/>
          <w:sz w:val="26"/>
          <w:szCs w:val="26"/>
        </w:rPr>
      </w:pPr>
    </w:p>
    <w:tbl>
      <w:tblPr>
        <w:tblW w:w="9996" w:type="dxa"/>
        <w:tblLook w:val="00A0" w:firstRow="1" w:lastRow="0" w:firstColumn="1" w:lastColumn="0" w:noHBand="0" w:noVBand="0"/>
      </w:tblPr>
      <w:tblGrid>
        <w:gridCol w:w="5211"/>
        <w:gridCol w:w="4785"/>
      </w:tblGrid>
      <w:tr w:rsidR="002B2D6C" w:rsidRPr="00011503" w:rsidTr="002B2D6C">
        <w:tc>
          <w:tcPr>
            <w:tcW w:w="5211" w:type="dxa"/>
          </w:tcPr>
          <w:p w:rsidR="002B2D6C" w:rsidRPr="00011503" w:rsidRDefault="002B2D6C" w:rsidP="002B2D6C">
            <w:pPr>
              <w:spacing w:after="0" w:line="240" w:lineRule="auto"/>
              <w:jc w:val="center"/>
              <w:rPr>
                <w:rFonts w:ascii="Times New Roman" w:hAnsi="Times New Roman"/>
                <w:b/>
                <w:sz w:val="26"/>
                <w:szCs w:val="26"/>
              </w:rPr>
            </w:pPr>
          </w:p>
        </w:tc>
        <w:tc>
          <w:tcPr>
            <w:tcW w:w="4785" w:type="dxa"/>
          </w:tcPr>
          <w:p w:rsidR="002B2D6C" w:rsidRPr="00011503" w:rsidRDefault="002B2D6C" w:rsidP="002B2D6C">
            <w:pPr>
              <w:spacing w:after="0" w:line="240" w:lineRule="auto"/>
              <w:jc w:val="both"/>
              <w:rPr>
                <w:rFonts w:ascii="Times New Roman" w:hAnsi="Times New Roman"/>
                <w:sz w:val="26"/>
                <w:szCs w:val="26"/>
              </w:rPr>
            </w:pPr>
            <w:r>
              <w:rPr>
                <w:rFonts w:ascii="Times New Roman" w:hAnsi="Times New Roman"/>
                <w:sz w:val="26"/>
                <w:szCs w:val="26"/>
              </w:rPr>
              <w:t>Приложение 2</w:t>
            </w:r>
          </w:p>
          <w:p w:rsidR="002B2D6C" w:rsidRPr="00011503" w:rsidRDefault="002B2D6C" w:rsidP="002B2D6C">
            <w:pPr>
              <w:spacing w:after="0" w:line="240" w:lineRule="auto"/>
              <w:jc w:val="both"/>
              <w:rPr>
                <w:rFonts w:ascii="Times New Roman" w:hAnsi="Times New Roman"/>
                <w:sz w:val="26"/>
                <w:szCs w:val="26"/>
              </w:rPr>
            </w:pPr>
            <w:r w:rsidRPr="00011503">
              <w:rPr>
                <w:rFonts w:ascii="Times New Roman" w:hAnsi="Times New Roman"/>
                <w:sz w:val="26"/>
                <w:szCs w:val="26"/>
              </w:rPr>
              <w:t xml:space="preserve">к приказу </w:t>
            </w:r>
            <w:r>
              <w:rPr>
                <w:rFonts w:ascii="Times New Roman" w:hAnsi="Times New Roman"/>
                <w:sz w:val="26"/>
                <w:szCs w:val="26"/>
              </w:rPr>
              <w:t>Департамента культуры и туризма Чукотского автономного округа</w:t>
            </w:r>
            <w:r w:rsidRPr="00011503">
              <w:rPr>
                <w:rFonts w:ascii="Times New Roman" w:hAnsi="Times New Roman"/>
                <w:sz w:val="26"/>
                <w:szCs w:val="26"/>
              </w:rPr>
              <w:t xml:space="preserve"> </w:t>
            </w:r>
          </w:p>
          <w:p w:rsidR="002B2D6C" w:rsidRPr="00011503" w:rsidRDefault="002B2D6C" w:rsidP="003B7E9B">
            <w:pPr>
              <w:spacing w:after="0" w:line="240" w:lineRule="auto"/>
              <w:jc w:val="both"/>
              <w:rPr>
                <w:rFonts w:ascii="Times New Roman" w:hAnsi="Times New Roman"/>
                <w:sz w:val="26"/>
                <w:szCs w:val="26"/>
              </w:rPr>
            </w:pPr>
            <w:r w:rsidRPr="00467291">
              <w:rPr>
                <w:rFonts w:ascii="Times New Roman" w:hAnsi="Times New Roman"/>
                <w:sz w:val="26"/>
                <w:szCs w:val="26"/>
              </w:rPr>
              <w:t>от</w:t>
            </w:r>
            <w:r w:rsidR="003B7E9B">
              <w:rPr>
                <w:rFonts w:ascii="Times New Roman" w:hAnsi="Times New Roman"/>
                <w:sz w:val="26"/>
                <w:szCs w:val="26"/>
              </w:rPr>
              <w:t xml:space="preserve"> 21</w:t>
            </w:r>
            <w:r w:rsidR="00BF08F7">
              <w:rPr>
                <w:rFonts w:ascii="Times New Roman" w:hAnsi="Times New Roman"/>
                <w:sz w:val="26"/>
                <w:szCs w:val="26"/>
              </w:rPr>
              <w:t>.</w:t>
            </w:r>
            <w:r w:rsidR="003B7E9B">
              <w:rPr>
                <w:rFonts w:ascii="Times New Roman" w:hAnsi="Times New Roman"/>
                <w:sz w:val="26"/>
                <w:szCs w:val="26"/>
              </w:rPr>
              <w:t>01</w:t>
            </w:r>
            <w:r>
              <w:rPr>
                <w:rFonts w:ascii="Times New Roman" w:hAnsi="Times New Roman"/>
                <w:sz w:val="26"/>
                <w:szCs w:val="26"/>
              </w:rPr>
              <w:t>.202</w:t>
            </w:r>
            <w:r w:rsidR="003B7E9B">
              <w:rPr>
                <w:rFonts w:ascii="Times New Roman" w:hAnsi="Times New Roman"/>
                <w:sz w:val="26"/>
                <w:szCs w:val="26"/>
              </w:rPr>
              <w:t>5</w:t>
            </w:r>
            <w:r w:rsidRPr="00467291">
              <w:rPr>
                <w:rFonts w:ascii="Times New Roman" w:hAnsi="Times New Roman"/>
                <w:sz w:val="26"/>
                <w:szCs w:val="26"/>
              </w:rPr>
              <w:t xml:space="preserve"> г. № 01-10/</w:t>
            </w:r>
            <w:r w:rsidR="003B7E9B">
              <w:rPr>
                <w:rFonts w:ascii="Times New Roman" w:hAnsi="Times New Roman"/>
                <w:sz w:val="26"/>
                <w:szCs w:val="26"/>
              </w:rPr>
              <w:t>12</w:t>
            </w:r>
            <w:bookmarkStart w:id="0" w:name="_GoBack"/>
            <w:bookmarkEnd w:id="0"/>
          </w:p>
        </w:tc>
      </w:tr>
    </w:tbl>
    <w:p w:rsidR="002B2D6C" w:rsidRDefault="002B2D6C" w:rsidP="00630423">
      <w:pPr>
        <w:shd w:val="clear" w:color="auto" w:fill="FFFFFF"/>
        <w:spacing w:after="0" w:line="240" w:lineRule="auto"/>
        <w:jc w:val="center"/>
        <w:rPr>
          <w:rFonts w:ascii="Times New Roman" w:hAnsi="Times New Roman"/>
          <w:b/>
        </w:rPr>
      </w:pPr>
    </w:p>
    <w:p w:rsidR="002B2D6C" w:rsidRDefault="002B2D6C" w:rsidP="002B2D6C">
      <w:pPr>
        <w:rPr>
          <w:rFonts w:ascii="Times New Roman" w:hAnsi="Times New Roman"/>
        </w:rPr>
      </w:pPr>
    </w:p>
    <w:p w:rsidR="002B2D6C" w:rsidRPr="002B2D6C" w:rsidRDefault="002B2D6C" w:rsidP="002B2D6C">
      <w:pPr>
        <w:widowControl w:val="0"/>
        <w:suppressAutoHyphens/>
        <w:spacing w:after="0" w:line="240" w:lineRule="auto"/>
        <w:jc w:val="center"/>
        <w:rPr>
          <w:rFonts w:ascii="Times New Roman" w:eastAsia="Arial Unicode MS" w:hAnsi="Times New Roman"/>
          <w:b/>
          <w:sz w:val="26"/>
          <w:szCs w:val="26"/>
        </w:rPr>
      </w:pPr>
      <w:r w:rsidRPr="002B2D6C">
        <w:rPr>
          <w:rFonts w:ascii="Times New Roman" w:eastAsia="Arial Unicode MS" w:hAnsi="Times New Roman"/>
          <w:b/>
          <w:sz w:val="26"/>
          <w:szCs w:val="26"/>
        </w:rPr>
        <w:t>Ключевые показатели</w:t>
      </w:r>
    </w:p>
    <w:p w:rsidR="002B2D6C" w:rsidRDefault="002B2D6C" w:rsidP="002B2D6C">
      <w:pPr>
        <w:widowControl w:val="0"/>
        <w:suppressAutoHyphens/>
        <w:spacing w:after="0" w:line="240" w:lineRule="auto"/>
        <w:jc w:val="center"/>
        <w:rPr>
          <w:rFonts w:ascii="Times New Roman" w:eastAsia="Arial Unicode MS" w:hAnsi="Times New Roman"/>
          <w:b/>
          <w:sz w:val="26"/>
          <w:szCs w:val="26"/>
        </w:rPr>
      </w:pPr>
      <w:r w:rsidRPr="002B2D6C">
        <w:rPr>
          <w:rFonts w:ascii="Times New Roman" w:eastAsia="Arial Unicode MS" w:hAnsi="Times New Roman"/>
          <w:b/>
          <w:sz w:val="26"/>
          <w:szCs w:val="26"/>
        </w:rPr>
        <w:t xml:space="preserve">эффективности функционирования антимонопольного </w:t>
      </w:r>
      <w:proofErr w:type="spellStart"/>
      <w:r w:rsidRPr="002B2D6C">
        <w:rPr>
          <w:rFonts w:ascii="Times New Roman" w:eastAsia="Arial Unicode MS" w:hAnsi="Times New Roman"/>
          <w:b/>
          <w:sz w:val="26"/>
          <w:szCs w:val="26"/>
        </w:rPr>
        <w:t>комплаенса</w:t>
      </w:r>
      <w:proofErr w:type="spellEnd"/>
      <w:r w:rsidRPr="002B2D6C">
        <w:rPr>
          <w:rFonts w:ascii="Times New Roman" w:eastAsia="Arial Unicode MS" w:hAnsi="Times New Roman"/>
          <w:b/>
          <w:sz w:val="26"/>
          <w:szCs w:val="26"/>
        </w:rPr>
        <w:t xml:space="preserve"> в Департаменте </w:t>
      </w:r>
      <w:r>
        <w:rPr>
          <w:rFonts w:ascii="Times New Roman" w:eastAsia="Arial Unicode MS" w:hAnsi="Times New Roman"/>
          <w:b/>
          <w:sz w:val="26"/>
          <w:szCs w:val="26"/>
        </w:rPr>
        <w:t>культуры и туризма</w:t>
      </w:r>
      <w:r w:rsidRPr="002B2D6C">
        <w:rPr>
          <w:rFonts w:ascii="Times New Roman" w:eastAsia="Arial Unicode MS" w:hAnsi="Times New Roman"/>
          <w:b/>
          <w:sz w:val="26"/>
          <w:szCs w:val="26"/>
        </w:rPr>
        <w:t xml:space="preserve"> Чукотского автономного округа</w:t>
      </w:r>
    </w:p>
    <w:p w:rsidR="002B2D6C" w:rsidRDefault="002B2D6C" w:rsidP="002B2D6C">
      <w:pPr>
        <w:widowControl w:val="0"/>
        <w:suppressAutoHyphens/>
        <w:spacing w:after="0" w:line="240" w:lineRule="auto"/>
        <w:jc w:val="center"/>
        <w:rPr>
          <w:rFonts w:ascii="Times New Roman" w:eastAsia="Arial Unicode MS" w:hAnsi="Times New Roman"/>
          <w:b/>
          <w:sz w:val="26"/>
          <w:szCs w:val="26"/>
        </w:rPr>
      </w:pPr>
    </w:p>
    <w:p w:rsidR="002B2D6C" w:rsidRPr="002B2D6C" w:rsidRDefault="002B2D6C" w:rsidP="002B2D6C">
      <w:pPr>
        <w:widowControl w:val="0"/>
        <w:suppressAutoHyphens/>
        <w:spacing w:after="0" w:line="240" w:lineRule="auto"/>
        <w:jc w:val="center"/>
        <w:rPr>
          <w:rFonts w:ascii="Times New Roman" w:eastAsia="Arial Unicode MS" w:hAnsi="Times New Roman"/>
          <w:b/>
          <w:sz w:val="26"/>
          <w:szCs w:val="26"/>
        </w:rPr>
      </w:pPr>
    </w:p>
    <w:p w:rsidR="002B2D6C" w:rsidRPr="002B2D6C" w:rsidRDefault="007F092C" w:rsidP="007F092C">
      <w:pPr>
        <w:widowControl w:val="0"/>
        <w:tabs>
          <w:tab w:val="left" w:pos="993"/>
        </w:tabs>
        <w:suppressAutoHyphens/>
        <w:spacing w:after="0" w:line="240" w:lineRule="auto"/>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1. </w:t>
      </w:r>
      <w:r w:rsidR="002B2D6C" w:rsidRPr="002B2D6C">
        <w:rPr>
          <w:rFonts w:ascii="Times New Roman" w:eastAsia="Arial Unicode MS" w:hAnsi="Times New Roman"/>
          <w:sz w:val="26"/>
          <w:szCs w:val="26"/>
        </w:rPr>
        <w:t>Коэффициент снижения количества нарушений антимонопольного законодательства со стороны Департамента по сравнению с предыдущим годом.</w:t>
      </w:r>
    </w:p>
    <w:p w:rsidR="002B2D6C" w:rsidRPr="002B2D6C" w:rsidRDefault="002B2D6C" w:rsidP="002B2D6C">
      <w:pPr>
        <w:widowControl w:val="0"/>
        <w:suppressAutoHyphens/>
        <w:spacing w:after="0" w:line="240" w:lineRule="auto"/>
        <w:jc w:val="both"/>
        <w:rPr>
          <w:rFonts w:ascii="Times New Roman" w:eastAsia="Arial Unicode MS" w:hAnsi="Times New Roman"/>
          <w:sz w:val="26"/>
          <w:szCs w:val="26"/>
        </w:rPr>
      </w:pPr>
      <w:bookmarkStart w:id="1" w:name="sub_102"/>
      <w:r w:rsidRPr="002B2D6C">
        <w:rPr>
          <w:rFonts w:ascii="Times New Roman" w:eastAsia="Arial Unicode MS" w:hAnsi="Times New Roman"/>
          <w:sz w:val="26"/>
          <w:szCs w:val="26"/>
        </w:rPr>
        <w:tab/>
        <w:t>2. Доля проектов правовых актов Департамента, в которых выявлены риски нарушения антимонопольного законодательства.</w:t>
      </w:r>
    </w:p>
    <w:p w:rsidR="002B2D6C" w:rsidRPr="002B2D6C" w:rsidRDefault="002B2D6C" w:rsidP="002B2D6C">
      <w:pPr>
        <w:widowControl w:val="0"/>
        <w:suppressAutoHyphens/>
        <w:spacing w:after="0" w:line="240" w:lineRule="auto"/>
        <w:jc w:val="both"/>
        <w:rPr>
          <w:rFonts w:ascii="Times New Roman" w:eastAsia="Arial Unicode MS" w:hAnsi="Times New Roman"/>
          <w:sz w:val="26"/>
          <w:szCs w:val="26"/>
        </w:rPr>
      </w:pPr>
      <w:bookmarkStart w:id="2" w:name="sub_103"/>
      <w:bookmarkEnd w:id="1"/>
      <w:r w:rsidRPr="002B2D6C">
        <w:rPr>
          <w:rFonts w:ascii="Times New Roman" w:eastAsia="Arial Unicode MS" w:hAnsi="Times New Roman"/>
          <w:sz w:val="26"/>
          <w:szCs w:val="26"/>
        </w:rPr>
        <w:tab/>
        <w:t>3. Доля правовых актов Департамента, в которых выявлены риски нарушения антимонопольного законодательства.</w:t>
      </w:r>
    </w:p>
    <w:bookmarkEnd w:id="2"/>
    <w:p w:rsidR="002B2D6C" w:rsidRPr="002B2D6C" w:rsidRDefault="002B2D6C" w:rsidP="002B2D6C">
      <w:pPr>
        <w:widowControl w:val="0"/>
        <w:suppressAutoHyphens/>
        <w:spacing w:after="0" w:line="240" w:lineRule="auto"/>
        <w:jc w:val="both"/>
        <w:rPr>
          <w:rFonts w:ascii="Times New Roman" w:eastAsia="Arial Unicode MS" w:hAnsi="Times New Roman"/>
          <w:sz w:val="26"/>
          <w:szCs w:val="26"/>
        </w:rPr>
      </w:pPr>
      <w:r w:rsidRPr="002B2D6C">
        <w:rPr>
          <w:rFonts w:ascii="Times New Roman" w:eastAsia="Arial Unicode MS" w:hAnsi="Times New Roman"/>
          <w:sz w:val="26"/>
          <w:szCs w:val="26"/>
        </w:rPr>
        <w:tab/>
        <w:t xml:space="preserve">4. Доля сотрудников Департамента, в отношении которых были проведены обучающие мероприятия по антимонопольному законодательству и антимонопольному </w:t>
      </w:r>
      <w:proofErr w:type="spellStart"/>
      <w:r w:rsidRPr="002B2D6C">
        <w:rPr>
          <w:rFonts w:ascii="Times New Roman" w:eastAsia="Arial Unicode MS" w:hAnsi="Times New Roman"/>
          <w:sz w:val="26"/>
          <w:szCs w:val="26"/>
        </w:rPr>
        <w:t>комплаенсу</w:t>
      </w:r>
      <w:proofErr w:type="spellEnd"/>
      <w:r w:rsidRPr="002B2D6C">
        <w:rPr>
          <w:rFonts w:ascii="Times New Roman" w:eastAsia="Arial Unicode MS" w:hAnsi="Times New Roman"/>
          <w:sz w:val="26"/>
          <w:szCs w:val="26"/>
        </w:rPr>
        <w:t>.</w:t>
      </w:r>
    </w:p>
    <w:p w:rsidR="009B69B3" w:rsidRPr="002B2D6C" w:rsidRDefault="009B69B3" w:rsidP="002B2D6C">
      <w:pPr>
        <w:jc w:val="center"/>
        <w:rPr>
          <w:rFonts w:ascii="Times New Roman" w:hAnsi="Times New Roman"/>
        </w:rPr>
      </w:pPr>
    </w:p>
    <w:sectPr w:rsidR="009B69B3" w:rsidRPr="002B2D6C" w:rsidSect="003A41E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9A7"/>
    <w:multiLevelType w:val="multilevel"/>
    <w:tmpl w:val="EF2856D0"/>
    <w:lvl w:ilvl="0">
      <w:start w:val="1"/>
      <w:numFmt w:val="decimal"/>
      <w:lvlText w:val="%1."/>
      <w:lvlJc w:val="left"/>
      <w:pPr>
        <w:ind w:left="1864" w:hanging="1155"/>
      </w:pPr>
      <w:rPr>
        <w:rFonts w:hint="default"/>
      </w:rPr>
    </w:lvl>
    <w:lvl w:ilvl="1">
      <w:start w:val="1"/>
      <w:numFmt w:val="decimal"/>
      <w:isLgl/>
      <w:lvlText w:val="%1.%2."/>
      <w:lvlJc w:val="left"/>
      <w:pPr>
        <w:ind w:left="1594" w:hanging="885"/>
      </w:pPr>
      <w:rPr>
        <w:rFonts w:ascii="Times New Roman" w:eastAsia="Times New Roman" w:hAnsi="Times New Roman" w:hint="default"/>
        <w:b w:val="0"/>
        <w:sz w:val="26"/>
      </w:rPr>
    </w:lvl>
    <w:lvl w:ilvl="2">
      <w:start w:val="1"/>
      <w:numFmt w:val="decimal"/>
      <w:isLgl/>
      <w:lvlText w:val="%1.%2.%3."/>
      <w:lvlJc w:val="left"/>
      <w:pPr>
        <w:ind w:left="1594" w:hanging="885"/>
      </w:pPr>
      <w:rPr>
        <w:rFonts w:ascii="Times New Roman" w:eastAsia="Times New Roman" w:hAnsi="Times New Roman" w:hint="default"/>
        <w:b w:val="0"/>
        <w:sz w:val="26"/>
      </w:rPr>
    </w:lvl>
    <w:lvl w:ilvl="3">
      <w:start w:val="1"/>
      <w:numFmt w:val="decimal"/>
      <w:isLgl/>
      <w:lvlText w:val="%1.%2.%3.%4."/>
      <w:lvlJc w:val="left"/>
      <w:pPr>
        <w:ind w:left="1789" w:hanging="1080"/>
      </w:pPr>
      <w:rPr>
        <w:rFonts w:ascii="Times New Roman" w:eastAsia="Times New Roman" w:hAnsi="Times New Roman" w:hint="default"/>
        <w:b w:val="0"/>
        <w:sz w:val="26"/>
      </w:rPr>
    </w:lvl>
    <w:lvl w:ilvl="4">
      <w:start w:val="1"/>
      <w:numFmt w:val="decimal"/>
      <w:isLgl/>
      <w:lvlText w:val="%1.%2.%3.%4.%5."/>
      <w:lvlJc w:val="left"/>
      <w:pPr>
        <w:ind w:left="1789" w:hanging="1080"/>
      </w:pPr>
      <w:rPr>
        <w:rFonts w:ascii="Times New Roman" w:eastAsia="Times New Roman" w:hAnsi="Times New Roman" w:hint="default"/>
        <w:b w:val="0"/>
        <w:sz w:val="26"/>
      </w:rPr>
    </w:lvl>
    <w:lvl w:ilvl="5">
      <w:start w:val="1"/>
      <w:numFmt w:val="decimal"/>
      <w:isLgl/>
      <w:lvlText w:val="%1.%2.%3.%4.%5.%6."/>
      <w:lvlJc w:val="left"/>
      <w:pPr>
        <w:ind w:left="2149" w:hanging="1440"/>
      </w:pPr>
      <w:rPr>
        <w:rFonts w:ascii="Times New Roman" w:eastAsia="Times New Roman" w:hAnsi="Times New Roman" w:hint="default"/>
        <w:b w:val="0"/>
        <w:sz w:val="26"/>
      </w:rPr>
    </w:lvl>
    <w:lvl w:ilvl="6">
      <w:start w:val="1"/>
      <w:numFmt w:val="decimal"/>
      <w:isLgl/>
      <w:lvlText w:val="%1.%2.%3.%4.%5.%6.%7."/>
      <w:lvlJc w:val="left"/>
      <w:pPr>
        <w:ind w:left="2149" w:hanging="1440"/>
      </w:pPr>
      <w:rPr>
        <w:rFonts w:ascii="Times New Roman" w:eastAsia="Times New Roman" w:hAnsi="Times New Roman" w:hint="default"/>
        <w:b w:val="0"/>
        <w:sz w:val="26"/>
      </w:rPr>
    </w:lvl>
    <w:lvl w:ilvl="7">
      <w:start w:val="1"/>
      <w:numFmt w:val="decimal"/>
      <w:isLgl/>
      <w:lvlText w:val="%1.%2.%3.%4.%5.%6.%7.%8."/>
      <w:lvlJc w:val="left"/>
      <w:pPr>
        <w:ind w:left="2509" w:hanging="1800"/>
      </w:pPr>
      <w:rPr>
        <w:rFonts w:ascii="Times New Roman" w:eastAsia="Times New Roman" w:hAnsi="Times New Roman" w:hint="default"/>
        <w:b w:val="0"/>
        <w:sz w:val="26"/>
      </w:rPr>
    </w:lvl>
    <w:lvl w:ilvl="8">
      <w:start w:val="1"/>
      <w:numFmt w:val="decimal"/>
      <w:isLgl/>
      <w:lvlText w:val="%1.%2.%3.%4.%5.%6.%7.%8.%9."/>
      <w:lvlJc w:val="left"/>
      <w:pPr>
        <w:ind w:left="2509" w:hanging="1800"/>
      </w:pPr>
      <w:rPr>
        <w:rFonts w:ascii="Times New Roman" w:eastAsia="Times New Roman" w:hAnsi="Times New Roman" w:hint="default"/>
        <w:b w:val="0"/>
        <w:sz w:val="26"/>
      </w:rPr>
    </w:lvl>
  </w:abstractNum>
  <w:abstractNum w:abstractNumId="1" w15:restartNumberingAfterBreak="0">
    <w:nsid w:val="623F5DD7"/>
    <w:multiLevelType w:val="hybridMultilevel"/>
    <w:tmpl w:val="E7681A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C2036B2"/>
    <w:multiLevelType w:val="hybridMultilevel"/>
    <w:tmpl w:val="8C46B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FD"/>
    <w:rsid w:val="000072B8"/>
    <w:rsid w:val="00011503"/>
    <w:rsid w:val="00015274"/>
    <w:rsid w:val="000506B2"/>
    <w:rsid w:val="00055653"/>
    <w:rsid w:val="0006222C"/>
    <w:rsid w:val="00064B20"/>
    <w:rsid w:val="00065D81"/>
    <w:rsid w:val="00073CA1"/>
    <w:rsid w:val="000800D4"/>
    <w:rsid w:val="0008185B"/>
    <w:rsid w:val="000C3B90"/>
    <w:rsid w:val="000C3DD0"/>
    <w:rsid w:val="000C49BD"/>
    <w:rsid w:val="000E717C"/>
    <w:rsid w:val="000E74BB"/>
    <w:rsid w:val="00110A74"/>
    <w:rsid w:val="00114C53"/>
    <w:rsid w:val="00134578"/>
    <w:rsid w:val="001431BC"/>
    <w:rsid w:val="001448E6"/>
    <w:rsid w:val="00150A30"/>
    <w:rsid w:val="00152452"/>
    <w:rsid w:val="00171BD4"/>
    <w:rsid w:val="00173BB5"/>
    <w:rsid w:val="00177AA7"/>
    <w:rsid w:val="00187CD2"/>
    <w:rsid w:val="001A25FD"/>
    <w:rsid w:val="001B6B89"/>
    <w:rsid w:val="001D5BBE"/>
    <w:rsid w:val="001E2874"/>
    <w:rsid w:val="001E6507"/>
    <w:rsid w:val="00233C54"/>
    <w:rsid w:val="00242952"/>
    <w:rsid w:val="0025538B"/>
    <w:rsid w:val="00265E4B"/>
    <w:rsid w:val="00286E72"/>
    <w:rsid w:val="002B2D6C"/>
    <w:rsid w:val="002D409B"/>
    <w:rsid w:val="002F1BBE"/>
    <w:rsid w:val="002F49AC"/>
    <w:rsid w:val="00336986"/>
    <w:rsid w:val="00360A19"/>
    <w:rsid w:val="00361E10"/>
    <w:rsid w:val="003A41EE"/>
    <w:rsid w:val="003A4A36"/>
    <w:rsid w:val="003B63CF"/>
    <w:rsid w:val="003B7E9B"/>
    <w:rsid w:val="003D14E1"/>
    <w:rsid w:val="003D6855"/>
    <w:rsid w:val="003E1343"/>
    <w:rsid w:val="003E669C"/>
    <w:rsid w:val="003F6583"/>
    <w:rsid w:val="00400933"/>
    <w:rsid w:val="004053EF"/>
    <w:rsid w:val="00412B17"/>
    <w:rsid w:val="004139D7"/>
    <w:rsid w:val="00467291"/>
    <w:rsid w:val="004A281B"/>
    <w:rsid w:val="004B183F"/>
    <w:rsid w:val="004B19F5"/>
    <w:rsid w:val="004D110F"/>
    <w:rsid w:val="004F2729"/>
    <w:rsid w:val="00501464"/>
    <w:rsid w:val="00503B11"/>
    <w:rsid w:val="0052552F"/>
    <w:rsid w:val="0053343A"/>
    <w:rsid w:val="005501FD"/>
    <w:rsid w:val="005636FD"/>
    <w:rsid w:val="00597589"/>
    <w:rsid w:val="005B4E0F"/>
    <w:rsid w:val="005C2535"/>
    <w:rsid w:val="005E2429"/>
    <w:rsid w:val="005E38CC"/>
    <w:rsid w:val="005F5B1A"/>
    <w:rsid w:val="00611EA2"/>
    <w:rsid w:val="006145BF"/>
    <w:rsid w:val="00630423"/>
    <w:rsid w:val="0063084C"/>
    <w:rsid w:val="0063727C"/>
    <w:rsid w:val="0068430B"/>
    <w:rsid w:val="006922AA"/>
    <w:rsid w:val="006A1EB6"/>
    <w:rsid w:val="006A3ED4"/>
    <w:rsid w:val="006A480F"/>
    <w:rsid w:val="006C3BF2"/>
    <w:rsid w:val="006D4E81"/>
    <w:rsid w:val="006E46DB"/>
    <w:rsid w:val="006E4E5F"/>
    <w:rsid w:val="00743543"/>
    <w:rsid w:val="007579DE"/>
    <w:rsid w:val="00775552"/>
    <w:rsid w:val="007949DE"/>
    <w:rsid w:val="007B55C7"/>
    <w:rsid w:val="007E3ED0"/>
    <w:rsid w:val="007E42B6"/>
    <w:rsid w:val="007E5336"/>
    <w:rsid w:val="007F092C"/>
    <w:rsid w:val="008076D3"/>
    <w:rsid w:val="00811B1A"/>
    <w:rsid w:val="00814545"/>
    <w:rsid w:val="0081569F"/>
    <w:rsid w:val="008437D8"/>
    <w:rsid w:val="00844801"/>
    <w:rsid w:val="00863D52"/>
    <w:rsid w:val="00886013"/>
    <w:rsid w:val="00890EDC"/>
    <w:rsid w:val="008B7FE8"/>
    <w:rsid w:val="008D0828"/>
    <w:rsid w:val="008D5E6C"/>
    <w:rsid w:val="008E270C"/>
    <w:rsid w:val="008E6BDD"/>
    <w:rsid w:val="00906ECA"/>
    <w:rsid w:val="00921A73"/>
    <w:rsid w:val="00961954"/>
    <w:rsid w:val="00984F96"/>
    <w:rsid w:val="00992A5A"/>
    <w:rsid w:val="009B69B3"/>
    <w:rsid w:val="009D19B2"/>
    <w:rsid w:val="009D1E91"/>
    <w:rsid w:val="009D4A53"/>
    <w:rsid w:val="009D6410"/>
    <w:rsid w:val="009E1124"/>
    <w:rsid w:val="009F4489"/>
    <w:rsid w:val="00A03901"/>
    <w:rsid w:val="00A27A75"/>
    <w:rsid w:val="00A42799"/>
    <w:rsid w:val="00A8506D"/>
    <w:rsid w:val="00AB6FE5"/>
    <w:rsid w:val="00B042CC"/>
    <w:rsid w:val="00B06929"/>
    <w:rsid w:val="00B15D2C"/>
    <w:rsid w:val="00B166D7"/>
    <w:rsid w:val="00B26135"/>
    <w:rsid w:val="00B2746F"/>
    <w:rsid w:val="00B4366D"/>
    <w:rsid w:val="00B46906"/>
    <w:rsid w:val="00B5314A"/>
    <w:rsid w:val="00B60C91"/>
    <w:rsid w:val="00B70B4C"/>
    <w:rsid w:val="00B77103"/>
    <w:rsid w:val="00B9139D"/>
    <w:rsid w:val="00B97FFC"/>
    <w:rsid w:val="00BA0485"/>
    <w:rsid w:val="00BA081D"/>
    <w:rsid w:val="00BC6743"/>
    <w:rsid w:val="00BD6CEC"/>
    <w:rsid w:val="00BD7C6D"/>
    <w:rsid w:val="00BF08F7"/>
    <w:rsid w:val="00C20C73"/>
    <w:rsid w:val="00C332C2"/>
    <w:rsid w:val="00C41F3C"/>
    <w:rsid w:val="00C57DFC"/>
    <w:rsid w:val="00C63752"/>
    <w:rsid w:val="00C7635E"/>
    <w:rsid w:val="00CB0B49"/>
    <w:rsid w:val="00CB600A"/>
    <w:rsid w:val="00CB7193"/>
    <w:rsid w:val="00CC1FC4"/>
    <w:rsid w:val="00CD6FE8"/>
    <w:rsid w:val="00CE6CF1"/>
    <w:rsid w:val="00D11C60"/>
    <w:rsid w:val="00D203FB"/>
    <w:rsid w:val="00D26060"/>
    <w:rsid w:val="00D26AD6"/>
    <w:rsid w:val="00D30919"/>
    <w:rsid w:val="00D3634E"/>
    <w:rsid w:val="00D377AF"/>
    <w:rsid w:val="00D42A5D"/>
    <w:rsid w:val="00D86DDE"/>
    <w:rsid w:val="00D91A88"/>
    <w:rsid w:val="00D9549F"/>
    <w:rsid w:val="00DA0C97"/>
    <w:rsid w:val="00DA415A"/>
    <w:rsid w:val="00DB10DC"/>
    <w:rsid w:val="00DB160F"/>
    <w:rsid w:val="00DB7DBA"/>
    <w:rsid w:val="00DD54CC"/>
    <w:rsid w:val="00E000B0"/>
    <w:rsid w:val="00E044DE"/>
    <w:rsid w:val="00E42F2A"/>
    <w:rsid w:val="00E630AD"/>
    <w:rsid w:val="00E65CA1"/>
    <w:rsid w:val="00E671B1"/>
    <w:rsid w:val="00EB7B32"/>
    <w:rsid w:val="00EE27DF"/>
    <w:rsid w:val="00EF0EDC"/>
    <w:rsid w:val="00EF7465"/>
    <w:rsid w:val="00F05471"/>
    <w:rsid w:val="00F45BDC"/>
    <w:rsid w:val="00FD2F71"/>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8317A"/>
  <w15:docId w15:val="{17FA36F9-9525-4FCC-AE00-CACDB483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FD"/>
    <w:pPr>
      <w:spacing w:after="160" w:line="259"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30423"/>
    <w:pPr>
      <w:spacing w:after="0" w:line="240" w:lineRule="auto"/>
    </w:pPr>
    <w:rPr>
      <w:rFonts w:ascii="Courier New" w:hAnsi="Courier New"/>
      <w:sz w:val="20"/>
      <w:szCs w:val="20"/>
    </w:rPr>
  </w:style>
  <w:style w:type="character" w:customStyle="1" w:styleId="a4">
    <w:name w:val="Текст Знак"/>
    <w:basedOn w:val="a0"/>
    <w:link w:val="a3"/>
    <w:uiPriority w:val="99"/>
    <w:locked/>
    <w:rsid w:val="00630423"/>
    <w:rPr>
      <w:rFonts w:ascii="Courier New" w:hAnsi="Courier New" w:cs="Times New Roman"/>
      <w:sz w:val="20"/>
      <w:szCs w:val="20"/>
      <w:lang w:eastAsia="ru-RU"/>
    </w:rPr>
  </w:style>
  <w:style w:type="table" w:styleId="a5">
    <w:name w:val="Table Grid"/>
    <w:basedOn w:val="a1"/>
    <w:uiPriority w:val="99"/>
    <w:rsid w:val="006304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150A30"/>
    <w:rPr>
      <w:rFonts w:eastAsia="Times New Roman"/>
    </w:rPr>
  </w:style>
  <w:style w:type="paragraph" w:customStyle="1" w:styleId="1">
    <w:name w:val="Абзац списка1"/>
    <w:basedOn w:val="a"/>
    <w:uiPriority w:val="99"/>
    <w:rsid w:val="00150A30"/>
    <w:pPr>
      <w:spacing w:after="200" w:line="276" w:lineRule="auto"/>
      <w:ind w:left="720"/>
    </w:pPr>
  </w:style>
  <w:style w:type="character" w:customStyle="1" w:styleId="a7">
    <w:name w:val="Гипертекстовая ссылка"/>
    <w:basedOn w:val="a0"/>
    <w:uiPriority w:val="99"/>
    <w:rsid w:val="00150A30"/>
    <w:rPr>
      <w:rFonts w:cs="Times New Roman"/>
      <w:color w:val="106BBE"/>
    </w:rPr>
  </w:style>
  <w:style w:type="paragraph" w:styleId="a8">
    <w:name w:val="List Paragraph"/>
    <w:basedOn w:val="a"/>
    <w:uiPriority w:val="99"/>
    <w:qFormat/>
    <w:rsid w:val="008E270C"/>
    <w:pPr>
      <w:ind w:left="720"/>
      <w:contextualSpacing/>
    </w:pPr>
  </w:style>
  <w:style w:type="paragraph" w:customStyle="1" w:styleId="ConsPlusNormal">
    <w:name w:val="ConsPlusNormal"/>
    <w:uiPriority w:val="99"/>
    <w:rsid w:val="000800D4"/>
    <w:pPr>
      <w:widowControl w:val="0"/>
      <w:autoSpaceDE w:val="0"/>
      <w:autoSpaceDN w:val="0"/>
      <w:adjustRightInd w:val="0"/>
      <w:ind w:firstLine="720"/>
    </w:pPr>
    <w:rPr>
      <w:rFonts w:ascii="Arial" w:hAnsi="Arial" w:cs="Arial"/>
      <w:sz w:val="20"/>
      <w:szCs w:val="20"/>
    </w:rPr>
  </w:style>
  <w:style w:type="paragraph" w:styleId="a9">
    <w:name w:val="Balloon Text"/>
    <w:basedOn w:val="a"/>
    <w:link w:val="aa"/>
    <w:uiPriority w:val="99"/>
    <w:semiHidden/>
    <w:unhideWhenUsed/>
    <w:rsid w:val="00E630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30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LAW&amp;n=309384&amp;date=17.12.2019&amp;dst=10007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09384&amp;date=17.12.2019&amp;dst=100105&amp;fld=134" TargetMode="External"/><Relationship Id="rId12" Type="http://schemas.openxmlformats.org/officeDocument/2006/relationships/hyperlink" Target="https://login.consultant.ru/link/?req=doc&amp;base=LAW&amp;n=309384&amp;date=17.12.2019&amp;dst=10007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1739482.0" TargetMode="External"/><Relationship Id="rId11" Type="http://schemas.openxmlformats.org/officeDocument/2006/relationships/hyperlink" Target="https://login.consultant.ru/link/?req=doc&amp;base=LAW&amp;n=285796&amp;date=17.12.2019&amp;dst=100057&amp;fld=134" TargetMode="External"/><Relationship Id="rId5" Type="http://schemas.openxmlformats.org/officeDocument/2006/relationships/image" Target="media/image1.png"/><Relationship Id="rId15" Type="http://schemas.openxmlformats.org/officeDocument/2006/relationships/hyperlink" Target="https://login.consultant.ru/link/?req=doc&amp;base=LAW&amp;n=285796&amp;date=17.12.2019&amp;dst=100060&amp;fld=134"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login.consultant.ru/link/?req=doc&amp;base=LAW&amp;n=309384&amp;date=17.12.2019&amp;dst=100056&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ДОКиС</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Nikonova</dc:creator>
  <cp:lastModifiedBy>Егор Ринтеймит Владимирович</cp:lastModifiedBy>
  <cp:revision>5</cp:revision>
  <cp:lastPrinted>2024-02-15T03:17:00Z</cp:lastPrinted>
  <dcterms:created xsi:type="dcterms:W3CDTF">2025-01-15T00:04:00Z</dcterms:created>
  <dcterms:modified xsi:type="dcterms:W3CDTF">2025-01-21T06:49:00Z</dcterms:modified>
</cp:coreProperties>
</file>