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AB" w:rsidRDefault="00C63F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20) приложение 20 «Программа предоставления бюджетных кредитов на 2025 год и на плановый период 2026 и 2027 годов» изложить в следующей редакции:</w:t>
      </w:r>
    </w:p>
    <w:tbl>
      <w:tblPr>
        <w:tblW w:w="15705" w:type="dxa"/>
        <w:tblLayout w:type="fixed"/>
        <w:tblLook w:val="04A0" w:firstRow="1" w:lastRow="0" w:firstColumn="1" w:lastColumn="0" w:noHBand="0" w:noVBand="1"/>
      </w:tblPr>
      <w:tblGrid>
        <w:gridCol w:w="888"/>
        <w:gridCol w:w="7030"/>
        <w:gridCol w:w="2560"/>
        <w:gridCol w:w="2908"/>
        <w:gridCol w:w="2319"/>
      </w:tblGrid>
      <w:tr w:rsidR="00CF70AB">
        <w:trPr>
          <w:trHeight w:val="375"/>
        </w:trPr>
        <w:tc>
          <w:tcPr>
            <w:tcW w:w="88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703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56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5227" w:type="dxa"/>
            <w:gridSpan w:val="2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20</w:t>
            </w:r>
          </w:p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F70AB">
        <w:trPr>
          <w:trHeight w:val="1140"/>
        </w:trPr>
        <w:tc>
          <w:tcPr>
            <w:tcW w:w="88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7030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7787" w:type="dxa"/>
            <w:gridSpan w:val="3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sz w:val="28"/>
              </w:rPr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sz w:val="28"/>
              </w:rPr>
              <w:br/>
              <w:t xml:space="preserve">и на плановый период 2026 и 2027 годов» </w:t>
            </w:r>
          </w:p>
        </w:tc>
      </w:tr>
      <w:tr w:rsidR="00CF70AB">
        <w:trPr>
          <w:trHeight w:val="360"/>
        </w:trPr>
        <w:tc>
          <w:tcPr>
            <w:tcW w:w="88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7030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560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90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 </w:t>
            </w:r>
          </w:p>
        </w:tc>
        <w:tc>
          <w:tcPr>
            <w:tcW w:w="231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 </w:t>
            </w:r>
          </w:p>
        </w:tc>
      </w:tr>
      <w:tr w:rsidR="00CF70AB">
        <w:trPr>
          <w:trHeight w:val="20"/>
        </w:trPr>
        <w:tc>
          <w:tcPr>
            <w:tcW w:w="15705" w:type="dxa"/>
            <w:gridSpan w:val="5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Программа предоставления бюджетных кредитов </w:t>
            </w:r>
            <w:r>
              <w:rPr>
                <w:rFonts w:ascii="Times New Roman" w:hAnsi="Times New Roman"/>
                <w:b/>
                <w:sz w:val="28"/>
              </w:rPr>
              <w:br/>
              <w:t>на 2025 год и на плановый период 2026 и 2027 годов</w:t>
            </w:r>
          </w:p>
        </w:tc>
      </w:tr>
      <w:tr w:rsidR="00CF70AB">
        <w:trPr>
          <w:trHeight w:val="20"/>
        </w:trPr>
        <w:tc>
          <w:tcPr>
            <w:tcW w:w="88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703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56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90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31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CF70AB">
        <w:trPr>
          <w:trHeight w:val="20"/>
        </w:trPr>
        <w:tc>
          <w:tcPr>
            <w:tcW w:w="15705" w:type="dxa"/>
            <w:gridSpan w:val="5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 Предоставление бюджетных кредитов в 2025 году</w:t>
            </w:r>
          </w:p>
        </w:tc>
      </w:tr>
      <w:tr w:rsidR="00CF70AB">
        <w:trPr>
          <w:trHeight w:val="20"/>
        </w:trPr>
        <w:tc>
          <w:tcPr>
            <w:tcW w:w="88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703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56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90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31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</w:tr>
      <w:tr w:rsidR="00CF70AB">
        <w:trPr>
          <w:trHeight w:val="20"/>
        </w:trPr>
        <w:tc>
          <w:tcPr>
            <w:tcW w:w="88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03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56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90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CF70AB">
        <w:trPr>
          <w:trHeight w:val="2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70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</w:tc>
        <w:tc>
          <w:tcPr>
            <w:tcW w:w="2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возврата кредита</w:t>
            </w:r>
          </w:p>
        </w:tc>
        <w:tc>
          <w:tcPr>
            <w:tcW w:w="2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предоставления кредита</w:t>
            </w:r>
          </w:p>
        </w:tc>
        <w:tc>
          <w:tcPr>
            <w:tcW w:w="2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сальдо</w:t>
            </w:r>
          </w:p>
        </w:tc>
      </w:tr>
      <w:tr w:rsidR="00CF70AB">
        <w:trPr>
          <w:trHeight w:val="20"/>
        </w:trPr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9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CF70AB">
        <w:trPr>
          <w:trHeight w:val="20"/>
        </w:trPr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7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233 350,0</w:t>
            </w:r>
          </w:p>
        </w:tc>
        <w:tc>
          <w:tcPr>
            <w:tcW w:w="29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2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183 350,0</w:t>
            </w:r>
          </w:p>
        </w:tc>
      </w:tr>
      <w:tr w:rsidR="00CF70AB">
        <w:trPr>
          <w:trHeight w:val="20"/>
        </w:trPr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7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3 023 750,7</w:t>
            </w:r>
          </w:p>
        </w:tc>
        <w:tc>
          <w:tcPr>
            <w:tcW w:w="29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1 928 000,0</w:t>
            </w:r>
          </w:p>
        </w:tc>
        <w:tc>
          <w:tcPr>
            <w:tcW w:w="2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1 095 750,7</w:t>
            </w:r>
          </w:p>
        </w:tc>
      </w:tr>
      <w:tr w:rsidR="00CF70AB">
        <w:trPr>
          <w:trHeight w:val="20"/>
        </w:trPr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70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3 257 100,7</w:t>
            </w:r>
          </w:p>
        </w:tc>
        <w:tc>
          <w:tcPr>
            <w:tcW w:w="29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1 978 000,0</w:t>
            </w:r>
          </w:p>
        </w:tc>
        <w:tc>
          <w:tcPr>
            <w:tcW w:w="2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1 279 100,7</w:t>
            </w:r>
          </w:p>
        </w:tc>
      </w:tr>
    </w:tbl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tbl>
      <w:tblPr>
        <w:tblW w:w="15705" w:type="dxa"/>
        <w:tblLayout w:type="fixed"/>
        <w:tblLook w:val="04A0" w:firstRow="1" w:lastRow="0" w:firstColumn="1" w:lastColumn="0" w:noHBand="0" w:noVBand="1"/>
      </w:tblPr>
      <w:tblGrid>
        <w:gridCol w:w="534"/>
        <w:gridCol w:w="4707"/>
        <w:gridCol w:w="1668"/>
        <w:gridCol w:w="2109"/>
        <w:gridCol w:w="1506"/>
        <w:gridCol w:w="1545"/>
        <w:gridCol w:w="2109"/>
        <w:gridCol w:w="1527"/>
      </w:tblGrid>
      <w:tr w:rsidR="00CF70AB">
        <w:trPr>
          <w:trHeight w:val="480"/>
        </w:trPr>
        <w:tc>
          <w:tcPr>
            <w:tcW w:w="15703" w:type="dxa"/>
            <w:gridSpan w:val="8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2. Предоставление бюджетных кредитов в плановом периоде 2026 и 2027 годов</w:t>
            </w:r>
          </w:p>
        </w:tc>
      </w:tr>
      <w:tr w:rsidR="00CF70AB">
        <w:trPr>
          <w:trHeight w:val="450"/>
        </w:trPr>
        <w:tc>
          <w:tcPr>
            <w:tcW w:w="533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706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66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10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506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545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10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52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CF70AB">
        <w:trPr>
          <w:trHeight w:val="315"/>
        </w:trPr>
        <w:tc>
          <w:tcPr>
            <w:tcW w:w="533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4706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66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10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6687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CF70AB">
        <w:trPr>
          <w:trHeight w:val="20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4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</w:tc>
        <w:tc>
          <w:tcPr>
            <w:tcW w:w="52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</w:t>
            </w:r>
          </w:p>
        </w:tc>
        <w:tc>
          <w:tcPr>
            <w:tcW w:w="5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</w:t>
            </w:r>
          </w:p>
        </w:tc>
      </w:tr>
      <w:tr w:rsidR="00CF70AB">
        <w:trPr>
          <w:trHeight w:val="20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4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возврата кредита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предоставления кредита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сальдо</w:t>
            </w:r>
          </w:p>
        </w:tc>
        <w:tc>
          <w:tcPr>
            <w:tcW w:w="1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возврата кредита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предоставления кредита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сальдо</w:t>
            </w:r>
          </w:p>
        </w:tc>
      </w:tr>
      <w:tr w:rsidR="00CF70AB">
        <w:trPr>
          <w:trHeight w:val="2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CF70AB">
        <w:trPr>
          <w:trHeight w:val="2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90 000,0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40 000,0</w:t>
            </w:r>
          </w:p>
        </w:tc>
      </w:tr>
      <w:tr w:rsidR="00CF70AB">
        <w:trPr>
          <w:trHeight w:val="2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1 100 000,0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100 000,0</w:t>
            </w:r>
          </w:p>
        </w:tc>
        <w:tc>
          <w:tcPr>
            <w:tcW w:w="1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CF70AB">
        <w:trPr>
          <w:trHeight w:val="20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4706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668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1 150 000,0</w:t>
            </w:r>
          </w:p>
        </w:tc>
        <w:tc>
          <w:tcPr>
            <w:tcW w:w="2109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1 050 000,0</w:t>
            </w:r>
          </w:p>
        </w:tc>
        <w:tc>
          <w:tcPr>
            <w:tcW w:w="1506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100 000,0</w:t>
            </w:r>
          </w:p>
        </w:tc>
        <w:tc>
          <w:tcPr>
            <w:tcW w:w="1545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1 090 000,0</w:t>
            </w:r>
          </w:p>
        </w:tc>
        <w:tc>
          <w:tcPr>
            <w:tcW w:w="2109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1 050 000,0</w:t>
            </w:r>
          </w:p>
        </w:tc>
        <w:tc>
          <w:tcPr>
            <w:tcW w:w="1527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40 000,0</w:t>
            </w:r>
          </w:p>
        </w:tc>
      </w:tr>
      <w:tr w:rsidR="00CF70AB">
        <w:trPr>
          <w:trHeight w:val="2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»;</w:t>
            </w:r>
          </w:p>
        </w:tc>
      </w:tr>
    </w:tbl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70AB" w:rsidRDefault="00C63F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br w:type="page"/>
      </w:r>
    </w:p>
    <w:p w:rsidR="00CF70AB" w:rsidRDefault="00C63F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>21) приложение 21 «Программа государственных внутренних заимствований Чукотского автономного округа на 2025 год и на плановый период 2026 и 2027 годов» изложить в следующей редакции:</w:t>
      </w:r>
    </w:p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tbl>
      <w:tblPr>
        <w:tblW w:w="15705" w:type="dxa"/>
        <w:tblLayout w:type="fixed"/>
        <w:tblLook w:val="04A0" w:firstRow="1" w:lastRow="0" w:firstColumn="1" w:lastColumn="0" w:noHBand="0" w:noVBand="1"/>
      </w:tblPr>
      <w:tblGrid>
        <w:gridCol w:w="5858"/>
        <w:gridCol w:w="2114"/>
        <w:gridCol w:w="1747"/>
        <w:gridCol w:w="1985"/>
        <w:gridCol w:w="1781"/>
        <w:gridCol w:w="2220"/>
      </w:tblGrid>
      <w:tr w:rsidR="00CF70AB">
        <w:trPr>
          <w:trHeight w:val="191"/>
        </w:trPr>
        <w:tc>
          <w:tcPr>
            <w:tcW w:w="585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114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74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4001" w:type="dxa"/>
            <w:gridSpan w:val="2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Arial CYR" w:hAnsi="Arial CYR"/>
                <w:sz w:val="20"/>
              </w:rPr>
              <w:t> </w:t>
            </w:r>
            <w:r>
              <w:rPr>
                <w:rFonts w:ascii="Times New Roman" w:hAnsi="Times New Roman"/>
                <w:sz w:val="28"/>
              </w:rPr>
              <w:t>«Приложение 21</w:t>
            </w:r>
          </w:p>
        </w:tc>
      </w:tr>
      <w:tr w:rsidR="00CF70AB">
        <w:trPr>
          <w:trHeight w:val="720"/>
        </w:trPr>
        <w:tc>
          <w:tcPr>
            <w:tcW w:w="585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1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7733" w:type="dxa"/>
            <w:gridSpan w:val="4"/>
            <w:shd w:val="clear" w:color="auto" w:fill="FFFFFF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sz w:val="28"/>
              </w:rPr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sz w:val="28"/>
              </w:rPr>
              <w:br/>
              <w:t xml:space="preserve">и на плановый период 2026 и 2027 годов» </w:t>
            </w:r>
          </w:p>
        </w:tc>
      </w:tr>
      <w:tr w:rsidR="00CF70AB">
        <w:trPr>
          <w:trHeight w:val="375"/>
        </w:trPr>
        <w:tc>
          <w:tcPr>
            <w:tcW w:w="585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1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74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 </w:t>
            </w:r>
          </w:p>
        </w:tc>
        <w:tc>
          <w:tcPr>
            <w:tcW w:w="1781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 </w:t>
            </w:r>
          </w:p>
        </w:tc>
        <w:tc>
          <w:tcPr>
            <w:tcW w:w="2220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 w:rsidR="00CF70AB">
        <w:trPr>
          <w:trHeight w:val="668"/>
        </w:trPr>
        <w:tc>
          <w:tcPr>
            <w:tcW w:w="15704" w:type="dxa"/>
            <w:gridSpan w:val="6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Программа государственных внутренних заимствований Чукотского автономного округа на 2025 год и на плановый период 2026 и 2027 годов</w:t>
            </w:r>
          </w:p>
        </w:tc>
      </w:tr>
      <w:tr w:rsidR="00CF70AB">
        <w:trPr>
          <w:trHeight w:val="268"/>
        </w:trPr>
        <w:tc>
          <w:tcPr>
            <w:tcW w:w="585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114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174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1781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22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</w:tr>
      <w:tr w:rsidR="00CF70AB">
        <w:trPr>
          <w:trHeight w:val="405"/>
        </w:trPr>
        <w:tc>
          <w:tcPr>
            <w:tcW w:w="15704" w:type="dxa"/>
            <w:gridSpan w:val="6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1. Государственные внутренние заимствования Чукотского автономного округа на 2025 год </w:t>
            </w:r>
          </w:p>
        </w:tc>
      </w:tr>
      <w:tr w:rsidR="00CF70AB">
        <w:trPr>
          <w:trHeight w:val="249"/>
        </w:trPr>
        <w:tc>
          <w:tcPr>
            <w:tcW w:w="585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114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174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1781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  <w:tc>
          <w:tcPr>
            <w:tcW w:w="222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 </w:t>
            </w:r>
          </w:p>
        </w:tc>
      </w:tr>
      <w:tr w:rsidR="00CF70AB">
        <w:trPr>
          <w:trHeight w:val="375"/>
        </w:trPr>
        <w:tc>
          <w:tcPr>
            <w:tcW w:w="5857" w:type="dxa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14" w:type="dxa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4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81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20" w:type="dxa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CF70AB">
        <w:trPr>
          <w:trHeight w:val="20"/>
        </w:trPr>
        <w:tc>
          <w:tcPr>
            <w:tcW w:w="5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Обязательства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заимствований на 1 января 2025 года</w:t>
            </w:r>
          </w:p>
        </w:tc>
        <w:tc>
          <w:tcPr>
            <w:tcW w:w="551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Планируемый объем заимствований на 1 января 2026 года</w:t>
            </w:r>
          </w:p>
        </w:tc>
      </w:tr>
      <w:tr w:rsidR="00CF70AB">
        <w:trPr>
          <w:trHeight w:val="20"/>
        </w:trPr>
        <w:tc>
          <w:tcPr>
            <w:tcW w:w="58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Привлечение</w:t>
            </w:r>
          </w:p>
        </w:tc>
        <w:tc>
          <w:tcPr>
            <w:tcW w:w="17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</w:tr>
      <w:tr w:rsidR="00CF70AB">
        <w:trPr>
          <w:trHeight w:val="20"/>
        </w:trPr>
        <w:tc>
          <w:tcPr>
            <w:tcW w:w="58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74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привлечения</w:t>
            </w:r>
          </w:p>
        </w:tc>
        <w:tc>
          <w:tcPr>
            <w:tcW w:w="19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предельные сроки погашения долговых обязательств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</w:tr>
    </w:tbl>
    <w:p w:rsidR="00CF70AB" w:rsidRDefault="00CF70AB">
      <w:pPr>
        <w:spacing w:after="0" w:line="240" w:lineRule="auto"/>
        <w:rPr>
          <w:sz w:val="2"/>
        </w:rPr>
      </w:pPr>
    </w:p>
    <w:tbl>
      <w:tblPr>
        <w:tblW w:w="157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58"/>
        <w:gridCol w:w="2113"/>
        <w:gridCol w:w="1747"/>
        <w:gridCol w:w="1984"/>
        <w:gridCol w:w="1781"/>
        <w:gridCol w:w="2220"/>
      </w:tblGrid>
      <w:tr w:rsidR="00CF70AB">
        <w:trPr>
          <w:trHeight w:val="20"/>
          <w:tblHeader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CF70AB">
        <w:trPr>
          <w:trHeight w:val="20"/>
        </w:trPr>
        <w:tc>
          <w:tcPr>
            <w:tcW w:w="5857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Государственные внутренние заимствования, всего</w:t>
            </w:r>
          </w:p>
        </w:tc>
        <w:tc>
          <w:tcPr>
            <w:tcW w:w="2113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7 758 028,5 </w:t>
            </w:r>
          </w:p>
        </w:tc>
        <w:tc>
          <w:tcPr>
            <w:tcW w:w="1747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2 248 000,0 </w:t>
            </w:r>
          </w:p>
        </w:tc>
        <w:tc>
          <w:tcPr>
            <w:tcW w:w="1984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46 326,0 </w:t>
            </w:r>
          </w:p>
        </w:tc>
        <w:tc>
          <w:tcPr>
            <w:tcW w:w="1781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2 570 738,9 </w:t>
            </w:r>
          </w:p>
        </w:tc>
        <w:tc>
          <w:tcPr>
            <w:tcW w:w="2220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7 435 289,6 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Государственные ценные бумаги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</w:p>
        </w:tc>
        <w:tc>
          <w:tcPr>
            <w:tcW w:w="174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140 000,0 </w:t>
            </w:r>
          </w:p>
        </w:tc>
        <w:tc>
          <w:tcPr>
            <w:tcW w:w="1984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31.10.2026</w:t>
            </w:r>
          </w:p>
        </w:tc>
        <w:tc>
          <w:tcPr>
            <w:tcW w:w="178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</w:p>
        </w:tc>
        <w:tc>
          <w:tcPr>
            <w:tcW w:w="222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140 000,0 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7 758 028,5 </w:t>
            </w:r>
          </w:p>
        </w:tc>
        <w:tc>
          <w:tcPr>
            <w:tcW w:w="174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2 108 000,0 </w:t>
            </w:r>
          </w:p>
        </w:tc>
        <w:tc>
          <w:tcPr>
            <w:tcW w:w="1984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78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2 570 738,9 </w:t>
            </w:r>
          </w:p>
        </w:tc>
        <w:tc>
          <w:tcPr>
            <w:tcW w:w="222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7 295 289,6 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в том числе: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747" w:type="dxa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781" w:type="dxa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220" w:type="dxa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для частичного покрытия дефицитов бюджетов субъектов Российской Федерации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7 310 539,0 </w:t>
            </w:r>
          </w:p>
        </w:tc>
        <w:tc>
          <w:tcPr>
            <w:tcW w:w="174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</w:p>
        </w:tc>
        <w:tc>
          <w:tcPr>
            <w:tcW w:w="1984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30.11.2029</w:t>
            </w:r>
          </w:p>
        </w:tc>
        <w:tc>
          <w:tcPr>
            <w:tcW w:w="178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435 521,5 </w:t>
            </w:r>
          </w:p>
        </w:tc>
        <w:tc>
          <w:tcPr>
            <w:tcW w:w="222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6 875 017,5 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333 461,5 </w:t>
            </w:r>
          </w:p>
        </w:tc>
        <w:tc>
          <w:tcPr>
            <w:tcW w:w="174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</w:p>
        </w:tc>
        <w:tc>
          <w:tcPr>
            <w:tcW w:w="1984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20.09.2039</w:t>
            </w:r>
          </w:p>
        </w:tc>
        <w:tc>
          <w:tcPr>
            <w:tcW w:w="178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19 072,5 </w:t>
            </w:r>
          </w:p>
        </w:tc>
        <w:tc>
          <w:tcPr>
            <w:tcW w:w="222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314 389,0 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специальные казначейские кредиты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114 028,0 </w:t>
            </w:r>
          </w:p>
        </w:tc>
        <w:tc>
          <w:tcPr>
            <w:tcW w:w="174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</w:p>
        </w:tc>
        <w:tc>
          <w:tcPr>
            <w:tcW w:w="1984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25.10.2038</w:t>
            </w:r>
          </w:p>
        </w:tc>
        <w:tc>
          <w:tcPr>
            <w:tcW w:w="178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8 144,9 </w:t>
            </w:r>
          </w:p>
        </w:tc>
        <w:tc>
          <w:tcPr>
            <w:tcW w:w="222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105 883,1 </w:t>
            </w:r>
          </w:p>
        </w:tc>
      </w:tr>
      <w:tr w:rsidR="00CF70AB">
        <w:trPr>
          <w:trHeight w:val="20"/>
        </w:trPr>
        <w:tc>
          <w:tcPr>
            <w:tcW w:w="5857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пополнение остатка средств на едином счете бюджета</w:t>
            </w:r>
          </w:p>
        </w:tc>
        <w:tc>
          <w:tcPr>
            <w:tcW w:w="2113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74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2 108 000,0 </w:t>
            </w:r>
          </w:p>
        </w:tc>
        <w:tc>
          <w:tcPr>
            <w:tcW w:w="1984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20.12.2025</w:t>
            </w:r>
          </w:p>
        </w:tc>
        <w:tc>
          <w:tcPr>
            <w:tcW w:w="178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2 108 000,0 </w:t>
            </w:r>
          </w:p>
        </w:tc>
        <w:tc>
          <w:tcPr>
            <w:tcW w:w="222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</w:p>
        </w:tc>
      </w:tr>
    </w:tbl>
    <w:p w:rsidR="00CF70AB" w:rsidRDefault="00CF70A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tbl>
      <w:tblPr>
        <w:tblW w:w="15705" w:type="dxa"/>
        <w:tblLayout w:type="fixed"/>
        <w:tblLook w:val="04A0" w:firstRow="1" w:lastRow="0" w:firstColumn="1" w:lastColumn="0" w:noHBand="0" w:noVBand="1"/>
      </w:tblPr>
      <w:tblGrid>
        <w:gridCol w:w="2050"/>
        <w:gridCol w:w="1692"/>
        <w:gridCol w:w="1478"/>
        <w:gridCol w:w="1486"/>
        <w:gridCol w:w="1327"/>
        <w:gridCol w:w="1691"/>
        <w:gridCol w:w="1478"/>
        <w:gridCol w:w="1486"/>
        <w:gridCol w:w="1327"/>
        <w:gridCol w:w="1690"/>
      </w:tblGrid>
      <w:tr w:rsidR="00CF70AB">
        <w:trPr>
          <w:trHeight w:val="20"/>
        </w:trPr>
        <w:tc>
          <w:tcPr>
            <w:tcW w:w="15703" w:type="dxa"/>
            <w:gridSpan w:val="10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 Государственные внутренние заимствования Чукотского автономного округа на плановый период 2026 и 2027 годов</w:t>
            </w:r>
          </w:p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CF70AB">
        <w:trPr>
          <w:trHeight w:val="20"/>
        </w:trPr>
        <w:tc>
          <w:tcPr>
            <w:tcW w:w="2049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691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47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486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32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691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478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486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17" w:type="dxa"/>
            <w:gridSpan w:val="2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Arial CYR" w:hAnsi="Arial CYR"/>
                <w:sz w:val="20"/>
              </w:rPr>
              <w:t> </w:t>
            </w: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CF70AB">
        <w:trPr>
          <w:trHeight w:val="20"/>
        </w:trPr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Обязательства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Планируемый объем заимствований на 1 января 2026 года</w:t>
            </w:r>
          </w:p>
        </w:tc>
        <w:tc>
          <w:tcPr>
            <w:tcW w:w="429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Планируемый объем заимствований на 1 января 2027 года</w:t>
            </w:r>
          </w:p>
        </w:tc>
        <w:tc>
          <w:tcPr>
            <w:tcW w:w="429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Планируемый объем заимствований на 1 января 2028 года</w:t>
            </w:r>
          </w:p>
        </w:tc>
      </w:tr>
      <w:tr w:rsidR="00CF70AB">
        <w:trPr>
          <w:trHeight w:val="20"/>
        </w:trPr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</w:t>
            </w:r>
          </w:p>
        </w:tc>
        <w:tc>
          <w:tcPr>
            <w:tcW w:w="13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</w:t>
            </w: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</w:t>
            </w:r>
          </w:p>
        </w:tc>
        <w:tc>
          <w:tcPr>
            <w:tcW w:w="13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</w:t>
            </w: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</w:tr>
      <w:tr w:rsidR="00CF70AB">
        <w:trPr>
          <w:trHeight w:val="20"/>
        </w:trPr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привлечения</w:t>
            </w:r>
          </w:p>
        </w:tc>
        <w:tc>
          <w:tcPr>
            <w:tcW w:w="1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предельные сроки погашения долговых обязательств</w:t>
            </w:r>
          </w:p>
        </w:tc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привлечения</w:t>
            </w:r>
          </w:p>
        </w:tc>
        <w:tc>
          <w:tcPr>
            <w:tcW w:w="14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предельные сроки погашения долговых обязательств</w:t>
            </w:r>
          </w:p>
        </w:tc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</w:tr>
      <w:tr w:rsidR="00CF70AB">
        <w:trPr>
          <w:trHeight w:val="20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F70AB">
        <w:trPr>
          <w:trHeight w:val="20"/>
        </w:trPr>
        <w:tc>
          <w:tcPr>
            <w:tcW w:w="2049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Государственные внутренние заимствования, всего</w:t>
            </w:r>
          </w:p>
        </w:tc>
        <w:tc>
          <w:tcPr>
            <w:tcW w:w="1691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7 435 289,6 </w:t>
            </w:r>
          </w:p>
        </w:tc>
        <w:tc>
          <w:tcPr>
            <w:tcW w:w="1478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608 375,3 </w:t>
            </w:r>
          </w:p>
        </w:tc>
        <w:tc>
          <w:tcPr>
            <w:tcW w:w="1691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6 826 914,3 </w:t>
            </w:r>
          </w:p>
        </w:tc>
        <w:tc>
          <w:tcPr>
            <w:tcW w:w="1478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- </w:t>
            </w:r>
          </w:p>
        </w:tc>
        <w:tc>
          <w:tcPr>
            <w:tcW w:w="1486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1327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468 375,3</w:t>
            </w:r>
          </w:p>
        </w:tc>
        <w:tc>
          <w:tcPr>
            <w:tcW w:w="1690" w:type="dxa"/>
            <w:tcBorders>
              <w:top w:val="single" w:sz="4" w:space="0" w:color="000000"/>
            </w:tcBorders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6 358 539,0</w:t>
            </w:r>
          </w:p>
        </w:tc>
      </w:tr>
      <w:tr w:rsidR="00CF70AB">
        <w:trPr>
          <w:trHeight w:val="20"/>
        </w:trPr>
        <w:tc>
          <w:tcPr>
            <w:tcW w:w="2049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691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78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48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27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78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48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90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CF70AB">
        <w:trPr>
          <w:trHeight w:val="20"/>
        </w:trPr>
        <w:tc>
          <w:tcPr>
            <w:tcW w:w="2049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ценные бумаги</w:t>
            </w:r>
          </w:p>
        </w:tc>
        <w:tc>
          <w:tcPr>
            <w:tcW w:w="169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140 000,0 </w:t>
            </w:r>
          </w:p>
        </w:tc>
        <w:tc>
          <w:tcPr>
            <w:tcW w:w="1478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48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140 000,0 </w:t>
            </w:r>
          </w:p>
        </w:tc>
        <w:tc>
          <w:tcPr>
            <w:tcW w:w="169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0,0 </w:t>
            </w:r>
          </w:p>
        </w:tc>
        <w:tc>
          <w:tcPr>
            <w:tcW w:w="1478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48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69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 w:rsidR="00CF70AB">
        <w:trPr>
          <w:trHeight w:val="20"/>
        </w:trPr>
        <w:tc>
          <w:tcPr>
            <w:tcW w:w="2049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бюджетные кредиты, привлеченные из федерального бюджета </w:t>
            </w:r>
          </w:p>
        </w:tc>
        <w:tc>
          <w:tcPr>
            <w:tcW w:w="169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7 295 289,6 </w:t>
            </w:r>
          </w:p>
        </w:tc>
        <w:tc>
          <w:tcPr>
            <w:tcW w:w="1478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48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468 375,3 </w:t>
            </w:r>
          </w:p>
        </w:tc>
        <w:tc>
          <w:tcPr>
            <w:tcW w:w="1691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6 826 914,3 </w:t>
            </w:r>
          </w:p>
        </w:tc>
        <w:tc>
          <w:tcPr>
            <w:tcW w:w="1478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w="148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468 375,3</w:t>
            </w:r>
          </w:p>
        </w:tc>
        <w:tc>
          <w:tcPr>
            <w:tcW w:w="169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6 358 539,0</w:t>
            </w:r>
          </w:p>
        </w:tc>
      </w:tr>
      <w:tr w:rsidR="00CF70AB">
        <w:trPr>
          <w:trHeight w:val="20"/>
        </w:trPr>
        <w:tc>
          <w:tcPr>
            <w:tcW w:w="2049" w:type="dxa"/>
            <w:shd w:val="clear" w:color="auto" w:fill="auto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0" w:type="dxa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»;</w:t>
            </w:r>
          </w:p>
        </w:tc>
      </w:tr>
    </w:tbl>
    <w:p w:rsidR="00CF70AB" w:rsidRDefault="00CF70AB">
      <w:pPr>
        <w:sectPr w:rsidR="00CF70AB">
          <w:headerReference w:type="even" r:id="rId6"/>
          <w:headerReference w:type="default" r:id="rId7"/>
          <w:headerReference w:type="first" r:id="rId8"/>
          <w:pgSz w:w="16838" w:h="11906" w:orient="landscape"/>
          <w:pgMar w:top="851" w:right="567" w:bottom="567" w:left="567" w:header="709" w:footer="0" w:gutter="0"/>
          <w:pgNumType w:start="1274"/>
          <w:cols w:space="720"/>
          <w:formProt w:val="0"/>
          <w:docGrid w:linePitch="100"/>
        </w:sectPr>
      </w:pPr>
    </w:p>
    <w:p w:rsidR="00CF70AB" w:rsidRDefault="00C63F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22) приложение 23 «Источники внутреннего финансирования дефицита окружного бюджета на 2025 год» изложить в следующей редакции: </w:t>
      </w:r>
    </w:p>
    <w:p w:rsidR="00CF70AB" w:rsidRDefault="00C63F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tbl>
      <w:tblPr>
        <w:tblW w:w="10773" w:type="dxa"/>
        <w:tblLayout w:type="fixed"/>
        <w:tblLook w:val="04A0" w:firstRow="1" w:lastRow="0" w:firstColumn="1" w:lastColumn="0" w:noHBand="0" w:noVBand="1"/>
      </w:tblPr>
      <w:tblGrid>
        <w:gridCol w:w="3640"/>
        <w:gridCol w:w="4581"/>
        <w:gridCol w:w="2552"/>
      </w:tblGrid>
      <w:tr w:rsidR="00CF70AB">
        <w:trPr>
          <w:trHeight w:val="20"/>
        </w:trPr>
        <w:tc>
          <w:tcPr>
            <w:tcW w:w="10773" w:type="dxa"/>
            <w:gridSpan w:val="3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 23</w:t>
            </w:r>
          </w:p>
        </w:tc>
      </w:tr>
      <w:tr w:rsidR="00CF70AB">
        <w:trPr>
          <w:trHeight w:val="20"/>
        </w:trPr>
        <w:tc>
          <w:tcPr>
            <w:tcW w:w="10773" w:type="dxa"/>
            <w:gridSpan w:val="3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sz w:val="28"/>
              </w:rPr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sz w:val="28"/>
              </w:rPr>
              <w:br/>
              <w:t xml:space="preserve">и на плановый период 2026 и 2027 годов» 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81" w:type="dxa"/>
            <w:shd w:val="clear" w:color="auto" w:fill="auto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CF70AB">
        <w:trPr>
          <w:trHeight w:val="20"/>
        </w:trPr>
        <w:tc>
          <w:tcPr>
            <w:tcW w:w="10773" w:type="dxa"/>
            <w:gridSpan w:val="3"/>
            <w:shd w:val="clear" w:color="auto" w:fill="auto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Источники внутреннего финансирования дефицита окружного бюджета </w:t>
            </w:r>
            <w:r>
              <w:rPr>
                <w:rFonts w:ascii="Calibri" w:hAnsi="Calibri"/>
                <w:sz w:val="24"/>
              </w:rPr>
              <w:br/>
            </w:r>
            <w:r>
              <w:rPr>
                <w:rFonts w:ascii="Times New Roman" w:hAnsi="Times New Roman"/>
                <w:b/>
                <w:sz w:val="28"/>
              </w:rPr>
              <w:t>на 2025 год</w:t>
            </w:r>
          </w:p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auto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81" w:type="dxa"/>
            <w:shd w:val="clear" w:color="auto" w:fill="auto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CF70AB">
        <w:trPr>
          <w:trHeight w:val="20"/>
        </w:trPr>
        <w:tc>
          <w:tcPr>
            <w:tcW w:w="8221" w:type="dxa"/>
            <w:gridSpan w:val="2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-1 878 878,0 </w:t>
            </w:r>
          </w:p>
        </w:tc>
      </w:tr>
      <w:tr w:rsidR="00CF70AB">
        <w:trPr>
          <w:trHeight w:val="20"/>
        </w:trPr>
        <w:tc>
          <w:tcPr>
            <w:tcW w:w="8221" w:type="dxa"/>
            <w:gridSpan w:val="2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-5,8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</w:p>
        </w:tc>
        <w:tc>
          <w:tcPr>
            <w:tcW w:w="2552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CF70AB">
        <w:trPr>
          <w:trHeight w:val="20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CF70AB">
        <w:trPr>
          <w:trHeight w:val="20"/>
        </w:trPr>
        <w:tc>
          <w:tcPr>
            <w:tcW w:w="3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5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01 00 00 00 00 0000 000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1 878 878,0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01 01 00 00 00 0000 000</w:t>
            </w:r>
          </w:p>
        </w:tc>
        <w:tc>
          <w:tcPr>
            <w:tcW w:w="4581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140 000,0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01 01 00 00 00 0000 700</w:t>
            </w:r>
          </w:p>
        </w:tc>
        <w:tc>
          <w:tcPr>
            <w:tcW w:w="4581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01 01 00 00 02 0000 710</w:t>
            </w:r>
          </w:p>
        </w:tc>
        <w:tc>
          <w:tcPr>
            <w:tcW w:w="4581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01 03 00 00 00 0000 000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-462 738,9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01 03 01 00 00 0000 000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Бюджетные кредиты из других </w:t>
            </w:r>
            <w:r>
              <w:rPr>
                <w:rFonts w:ascii="Times New Roman" w:hAnsi="Times New Roman"/>
                <w:sz w:val="28"/>
              </w:rP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-462 738,9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01 03 01 00 00 0000 700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2 108 000,0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01 03 01 00 02 0000 710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2 108 000,0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01 03 01 00 00 0000 800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-2 570 738,9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01 03 01 00 02 0000 810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-2 570 738,9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01 03 01 00 02 5002 810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-435 521,5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01 03 01 00 02 2700 810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-19 072,5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01 03 01 00 02 5700 810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-8 144,9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01 05 00 00 00 0000 000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922 516,2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01 05 00 00 00 0000 500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Увеличение остатков средств бюджетов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-65 655 510,9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01 05 02 00 00 0000 500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-65 655 510,9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01 05 02 01 00 0000 510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-65 655 510,9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01 05 02 01 02 0000 510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-65 655 510,9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01 05 00 00 00 0000 600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Уменьшение остатков средств бюджетов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66 578 027,1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01 05 02 00 00 0000 600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66 578 027,1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01 05 02 01 00 0000 610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66 578 027,1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01 05 02 01 02 0000 610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66 578 027,1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01 06 00 00 00 0000 000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1 279 100,7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01 06 05 00 00 0000 000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1 279 100,7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01 06 05 00 00 0000 600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3 257 100,7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01 06 05 01 00 0000 600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3 023 750,7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01 06 05 01 02 0000 640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3 023 750,7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01 06 05 02 00 0000 600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233 350,0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01 06 05 02 02 0000 640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Возврат бюджетных кредитов, предоставленных другим бюджетам бюджетной системы Российской </w:t>
            </w:r>
            <w:r>
              <w:rPr>
                <w:rFonts w:ascii="Times New Roman" w:hAnsi="Times New Roman"/>
                <w:sz w:val="28"/>
              </w:rPr>
              <w:lastRenderedPageBreak/>
              <w:t>Федерации из бюджетов субъектов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233 350,0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01 06 05 00 00 0000 500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-1 978 000,0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01 06 05 01 00 0000 500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-1 928 000,0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01 06 05 01 02 0000 540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-1 928 000,0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01 06 05 02 00 0000 500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-50 000,0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01 06 05 02 02 0000 540</w:t>
            </w:r>
          </w:p>
        </w:tc>
        <w:tc>
          <w:tcPr>
            <w:tcW w:w="4581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552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-50 000,0</w:t>
            </w:r>
          </w:p>
        </w:tc>
      </w:tr>
      <w:tr w:rsidR="00CF70AB">
        <w:trPr>
          <w:trHeight w:val="20"/>
        </w:trPr>
        <w:tc>
          <w:tcPr>
            <w:tcW w:w="3640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81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»;</w:t>
            </w:r>
          </w:p>
        </w:tc>
      </w:tr>
    </w:tbl>
    <w:p w:rsidR="00CF70AB" w:rsidRDefault="00CF70AB">
      <w:pPr>
        <w:sectPr w:rsidR="00CF70AB">
          <w:headerReference w:type="default" r:id="rId9"/>
          <w:headerReference w:type="first" r:id="rId10"/>
          <w:pgSz w:w="11906" w:h="16838"/>
          <w:pgMar w:top="766" w:right="567" w:bottom="567" w:left="567" w:header="709" w:footer="0" w:gutter="0"/>
          <w:cols w:space="720"/>
          <w:formProt w:val="0"/>
          <w:docGrid w:linePitch="100"/>
        </w:sectPr>
      </w:pPr>
    </w:p>
    <w:p w:rsidR="00CF70AB" w:rsidRDefault="00C63FF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23) приложение 24 «Источники внутреннего финансирования дефицита окружного бюджета на плановый период 2026 и 2027 годов» изложить в следующей редакции:    </w:t>
      </w: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b/>
          <w:sz w:val="28"/>
        </w:rPr>
      </w:pPr>
    </w:p>
    <w:tbl>
      <w:tblPr>
        <w:tblW w:w="15705" w:type="dxa"/>
        <w:jc w:val="right"/>
        <w:tblLayout w:type="fixed"/>
        <w:tblLook w:val="04A0" w:firstRow="1" w:lastRow="0" w:firstColumn="1" w:lastColumn="0" w:noHBand="0" w:noVBand="1"/>
      </w:tblPr>
      <w:tblGrid>
        <w:gridCol w:w="3927"/>
        <w:gridCol w:w="6514"/>
        <w:gridCol w:w="2827"/>
        <w:gridCol w:w="2437"/>
      </w:tblGrid>
      <w:tr w:rsidR="00CF70AB">
        <w:trPr>
          <w:trHeight w:val="20"/>
          <w:jc w:val="right"/>
        </w:trPr>
        <w:tc>
          <w:tcPr>
            <w:tcW w:w="3926" w:type="dxa"/>
            <w:shd w:val="clear" w:color="auto" w:fill="auto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778" w:type="dxa"/>
            <w:gridSpan w:val="3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 24</w:t>
            </w:r>
          </w:p>
        </w:tc>
      </w:tr>
      <w:tr w:rsidR="00CF70AB">
        <w:trPr>
          <w:trHeight w:val="20"/>
          <w:jc w:val="right"/>
        </w:trPr>
        <w:tc>
          <w:tcPr>
            <w:tcW w:w="3926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778" w:type="dxa"/>
            <w:gridSpan w:val="3"/>
            <w:shd w:val="clear" w:color="auto" w:fill="auto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sz w:val="28"/>
              </w:rPr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sz w:val="28"/>
              </w:rPr>
              <w:br/>
              <w:t xml:space="preserve">и на плановый период 2026 и 2027 годов» </w:t>
            </w:r>
          </w:p>
        </w:tc>
      </w:tr>
      <w:tr w:rsidR="00CF70AB">
        <w:trPr>
          <w:trHeight w:val="20"/>
          <w:jc w:val="right"/>
        </w:trPr>
        <w:tc>
          <w:tcPr>
            <w:tcW w:w="3926" w:type="dxa"/>
            <w:shd w:val="clear" w:color="auto" w:fill="auto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6514" w:type="dxa"/>
            <w:shd w:val="clear" w:color="auto" w:fill="auto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27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37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CF70AB">
        <w:trPr>
          <w:trHeight w:val="20"/>
          <w:jc w:val="right"/>
        </w:trPr>
        <w:tc>
          <w:tcPr>
            <w:tcW w:w="15704" w:type="dxa"/>
            <w:gridSpan w:val="4"/>
            <w:shd w:val="clear" w:color="auto" w:fill="auto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Источники внутреннего финансирования дефицита окружного бюджета </w:t>
            </w:r>
            <w:r>
              <w:rPr>
                <w:rFonts w:ascii="Times New Roman" w:hAnsi="Times New Roman"/>
                <w:b/>
                <w:sz w:val="28"/>
              </w:rPr>
              <w:br/>
              <w:t>на плановый период 2026 и 2027 годов</w:t>
            </w:r>
          </w:p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CF70AB">
        <w:trPr>
          <w:trHeight w:val="20"/>
          <w:jc w:val="right"/>
        </w:trPr>
        <w:tc>
          <w:tcPr>
            <w:tcW w:w="3926" w:type="dxa"/>
            <w:shd w:val="clear" w:color="auto" w:fill="auto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514" w:type="dxa"/>
            <w:shd w:val="clear" w:color="auto" w:fill="auto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27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37" w:type="dxa"/>
            <w:shd w:val="clear" w:color="auto" w:fill="auto"/>
            <w:vAlign w:val="bottom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CF70AB">
        <w:trPr>
          <w:trHeight w:val="20"/>
          <w:jc w:val="right"/>
        </w:trPr>
        <w:tc>
          <w:tcPr>
            <w:tcW w:w="10440" w:type="dxa"/>
            <w:gridSpan w:val="2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28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508 375,3   </w:t>
            </w:r>
          </w:p>
        </w:tc>
        <w:tc>
          <w:tcPr>
            <w:tcW w:w="243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428 375,3   </w:t>
            </w:r>
          </w:p>
        </w:tc>
      </w:tr>
      <w:tr w:rsidR="00CF70AB">
        <w:trPr>
          <w:trHeight w:val="20"/>
          <w:jc w:val="right"/>
        </w:trPr>
        <w:tc>
          <w:tcPr>
            <w:tcW w:w="10440" w:type="dxa"/>
            <w:gridSpan w:val="2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282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2,0   </w:t>
            </w:r>
          </w:p>
        </w:tc>
        <w:tc>
          <w:tcPr>
            <w:tcW w:w="2437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1,6   </w:t>
            </w:r>
          </w:p>
        </w:tc>
      </w:tr>
      <w:tr w:rsidR="00CF70AB">
        <w:trPr>
          <w:trHeight w:val="20"/>
          <w:jc w:val="right"/>
        </w:trPr>
        <w:tc>
          <w:tcPr>
            <w:tcW w:w="3926" w:type="dxa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6514" w:type="dxa"/>
            <w:tcBorders>
              <w:bottom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</w:p>
        </w:tc>
        <w:tc>
          <w:tcPr>
            <w:tcW w:w="282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  <w:p w:rsidR="00CF70AB" w:rsidRDefault="00CF70AB">
            <w:pPr>
              <w:spacing w:after="0" w:line="240" w:lineRule="auto"/>
              <w:rPr>
                <w:rFonts w:ascii="Arial CYR" w:hAnsi="Arial CYR"/>
                <w:sz w:val="20"/>
              </w:rPr>
            </w:pPr>
          </w:p>
          <w:p w:rsidR="00CF70AB" w:rsidRDefault="00CF70AB">
            <w:pPr>
              <w:spacing w:after="0" w:line="240" w:lineRule="auto"/>
              <w:rPr>
                <w:rFonts w:ascii="Arial CYR" w:hAnsi="Arial CYR"/>
                <w:sz w:val="20"/>
              </w:rPr>
            </w:pPr>
          </w:p>
        </w:tc>
        <w:tc>
          <w:tcPr>
            <w:tcW w:w="2437" w:type="dxa"/>
            <w:shd w:val="clear" w:color="auto" w:fill="FFFFFF"/>
            <w:vAlign w:val="bottom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CF70AB">
        <w:trPr>
          <w:trHeight w:val="20"/>
          <w:jc w:val="right"/>
        </w:trPr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6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</w:tc>
        <w:tc>
          <w:tcPr>
            <w:tcW w:w="526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CF70AB">
        <w:trPr>
          <w:trHeight w:val="20"/>
          <w:jc w:val="right"/>
        </w:trPr>
        <w:tc>
          <w:tcPr>
            <w:tcW w:w="39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65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F70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827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</w:t>
            </w:r>
            <w:r>
              <w:rPr>
                <w:rFonts w:ascii="Times New Roman" w:hAnsi="Times New Roman"/>
                <w:sz w:val="28"/>
              </w:rPr>
              <w:br/>
            </w:r>
          </w:p>
        </w:tc>
        <w:tc>
          <w:tcPr>
            <w:tcW w:w="2437" w:type="dxa"/>
            <w:tcBorders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</w:t>
            </w: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:rsidR="00CF70AB" w:rsidRDefault="00CF70AB">
      <w:pPr>
        <w:spacing w:after="0" w:line="240" w:lineRule="auto"/>
        <w:rPr>
          <w:sz w:val="2"/>
        </w:rPr>
      </w:pPr>
    </w:p>
    <w:tbl>
      <w:tblPr>
        <w:tblW w:w="15703" w:type="dxa"/>
        <w:jc w:val="right"/>
        <w:tblLayout w:type="fixed"/>
        <w:tblLook w:val="04A0" w:firstRow="1" w:lastRow="0" w:firstColumn="1" w:lastColumn="0" w:noHBand="0" w:noVBand="1"/>
      </w:tblPr>
      <w:tblGrid>
        <w:gridCol w:w="3926"/>
        <w:gridCol w:w="6514"/>
        <w:gridCol w:w="2826"/>
        <w:gridCol w:w="2437"/>
      </w:tblGrid>
      <w:tr w:rsidR="00CF70AB">
        <w:trPr>
          <w:trHeight w:val="20"/>
          <w:tblHeader/>
          <w:jc w:val="right"/>
        </w:trPr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3 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tcBorders>
              <w:top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01 00 00 00 00 0000 000</w:t>
            </w:r>
          </w:p>
        </w:tc>
        <w:tc>
          <w:tcPr>
            <w:tcW w:w="6514" w:type="dxa"/>
            <w:tcBorders>
              <w:top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-508 375,3</w:t>
            </w:r>
          </w:p>
        </w:tc>
        <w:tc>
          <w:tcPr>
            <w:tcW w:w="2437" w:type="dxa"/>
            <w:tcBorders>
              <w:top w:val="single" w:sz="4" w:space="0" w:color="000000"/>
            </w:tcBorders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-428 375,3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01 01 00 00 00 0000 000</w:t>
            </w:r>
          </w:p>
        </w:tc>
        <w:tc>
          <w:tcPr>
            <w:tcW w:w="6514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82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-140 000,0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01 01 00 00 00 0000 800</w:t>
            </w:r>
          </w:p>
        </w:tc>
        <w:tc>
          <w:tcPr>
            <w:tcW w:w="6514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82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-140 000,0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auto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01 01 00 00 02 0000 810</w:t>
            </w:r>
          </w:p>
        </w:tc>
        <w:tc>
          <w:tcPr>
            <w:tcW w:w="6514" w:type="dxa"/>
            <w:shd w:val="clear" w:color="auto" w:fill="auto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826" w:type="dxa"/>
            <w:shd w:val="clear" w:color="auto" w:fill="auto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-140 000,0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01 03 00 00 00 0000 000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-468 375,3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-468 375,3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01 03 01 00 00 0000 000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-468 375,3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-468 375,3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01 03 01 00 00 0000 800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-468 375,3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-468 375,3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01 03 01 00 02 0000 810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-468 375,3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-468 375,3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01 03 01 00 02 2700 810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-24 708,9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-24 708,9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01 03 01 00 02 5002 810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-435 521,5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-435 521,5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01 03 01 00 02 5700 810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Погашение бюджетами субъектов Российской Федерации кредитов из других бюджетов </w:t>
            </w:r>
            <w:r>
              <w:rPr>
                <w:rFonts w:ascii="Times New Roman" w:hAnsi="Times New Roman"/>
                <w:sz w:val="28"/>
              </w:rPr>
              <w:lastRenderedPageBreak/>
              <w:t>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-8 144,9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-8 144,9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01 05 00 00 00 0000 500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Увеличение остатков средств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01 05 02 00 00 0000 500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прочих остатков средств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01 05 02 01 00 0000 510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прочих остатков денежных средств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01 05 02 01 02 0000 510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01 05 00 00 00 0000 600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Уменьшение остатков средств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01 05 02 00 00 0000 600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Уменьшение прочих остатков средств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01 05 02 01 00 0000 610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01 05 02 01 02 0000 610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45 791 090,2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45 977 161,5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01 06 00 00 00 0000 000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01 06 05 00 00 0000 000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01 06 05 00 00 0000 600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1 150 000,0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1 090 000,0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01 06 05 01 00 0000 600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1 100 000,0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01 06 05 01 02 0000 640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1 100 000,0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01 06 05 02 00 0000 600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Возврат бюджетных кредитов, предоставленных другим бюджетам бюджетной системы Российской </w:t>
            </w:r>
            <w:r>
              <w:rPr>
                <w:rFonts w:ascii="Times New Roman" w:hAnsi="Times New Roman"/>
                <w:sz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01 06 05 02 02 0000 640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01 06 05 00 00 0000 500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-1 050 000,0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-1 050 000,0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01 06 05 01 00 0000 500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-1 000 000,0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-1 000 000,0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01 06 05 01 02 0000 540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-1 000 000,0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-1 000 000,0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01 06 05 02 00 0000 500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01 06 05 02 02 0000 540</w:t>
            </w:r>
          </w:p>
        </w:tc>
        <w:tc>
          <w:tcPr>
            <w:tcW w:w="6514" w:type="dxa"/>
            <w:shd w:val="clear" w:color="auto" w:fill="FFFFFF"/>
          </w:tcPr>
          <w:p w:rsidR="00CF70AB" w:rsidRDefault="00C63FF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826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-50 000,0</w:t>
            </w: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-50 000,0</w:t>
            </w:r>
          </w:p>
        </w:tc>
      </w:tr>
      <w:tr w:rsidR="00CF70AB">
        <w:trPr>
          <w:trHeight w:val="20"/>
          <w:jc w:val="right"/>
        </w:trPr>
        <w:tc>
          <w:tcPr>
            <w:tcW w:w="3925" w:type="dxa"/>
            <w:shd w:val="clear" w:color="auto" w:fill="FFFFFF"/>
          </w:tcPr>
          <w:p w:rsidR="00CF70AB" w:rsidRDefault="00CF7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514" w:type="dxa"/>
            <w:shd w:val="clear" w:color="auto" w:fill="FFFFFF"/>
          </w:tcPr>
          <w:p w:rsidR="00CF70AB" w:rsidRDefault="00CF70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26" w:type="dxa"/>
            <w:shd w:val="clear" w:color="auto" w:fill="FFFFFF"/>
          </w:tcPr>
          <w:p w:rsidR="00CF70AB" w:rsidRDefault="00CF70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437" w:type="dxa"/>
            <w:shd w:val="clear" w:color="auto" w:fill="FFFFFF"/>
          </w:tcPr>
          <w:p w:rsidR="00CF70AB" w:rsidRDefault="00C63F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».</w:t>
            </w:r>
          </w:p>
        </w:tc>
      </w:tr>
    </w:tbl>
    <w:p w:rsidR="00CF70AB" w:rsidRDefault="00CF70AB">
      <w:pPr>
        <w:spacing w:after="0" w:line="240" w:lineRule="auto"/>
        <w:ind w:left="284"/>
        <w:rPr>
          <w:rFonts w:ascii="Times New Roman" w:hAnsi="Times New Roman"/>
          <w:b/>
          <w:sz w:val="28"/>
        </w:rPr>
      </w:pP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b/>
          <w:sz w:val="28"/>
        </w:rPr>
      </w:pP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b/>
          <w:sz w:val="28"/>
        </w:rPr>
      </w:pP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b/>
          <w:sz w:val="28"/>
        </w:rPr>
      </w:pP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b/>
          <w:sz w:val="28"/>
        </w:rPr>
        <w:sectPr w:rsidR="00CF70AB">
          <w:headerReference w:type="default" r:id="rId11"/>
          <w:headerReference w:type="first" r:id="rId12"/>
          <w:pgSz w:w="16838" w:h="11906" w:orient="landscape"/>
          <w:pgMar w:top="766" w:right="567" w:bottom="567" w:left="567" w:header="709" w:footer="0" w:gutter="0"/>
          <w:cols w:space="720"/>
          <w:formProt w:val="0"/>
          <w:docGrid w:linePitch="100"/>
        </w:sectPr>
      </w:pPr>
    </w:p>
    <w:p w:rsidR="00CF70AB" w:rsidRDefault="00C63FFC">
      <w:pPr>
        <w:spacing w:after="0" w:line="240" w:lineRule="auto"/>
        <w:ind w:firstLine="99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Статья 2</w:t>
      </w:r>
    </w:p>
    <w:p w:rsidR="00CF70AB" w:rsidRDefault="00CF70AB">
      <w:pPr>
        <w:spacing w:after="0" w:line="240" w:lineRule="auto"/>
        <w:ind w:firstLine="992"/>
        <w:rPr>
          <w:rFonts w:ascii="Times New Roman" w:hAnsi="Times New Roman"/>
          <w:sz w:val="28"/>
        </w:rPr>
      </w:pPr>
    </w:p>
    <w:p w:rsidR="00CF70AB" w:rsidRDefault="00C63FFC">
      <w:pPr>
        <w:spacing w:after="0" w:line="240" w:lineRule="auto"/>
        <w:ind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 со дня его официального опубликования.</w:t>
      </w:r>
    </w:p>
    <w:p w:rsidR="00CF70AB" w:rsidRDefault="006E44D8">
      <w:pPr>
        <w:spacing w:after="0" w:line="240" w:lineRule="auto"/>
        <w:ind w:left="284"/>
        <w:rPr>
          <w:rFonts w:ascii="Times New Roman" w:hAnsi="Times New Roman"/>
          <w:sz w:val="28"/>
        </w:rPr>
      </w:pPr>
      <w:bookmarkStart w:id="0" w:name="_GoBack"/>
      <w:r>
        <w:rPr>
          <w:noProof/>
          <w:lang w:eastAsia="ru-RU" w:bidi="ar-SA"/>
        </w:rPr>
        <w:drawing>
          <wp:anchor distT="0" distB="0" distL="114300" distR="114300" simplePos="0" relativeHeight="251658240" behindDoc="1" locked="0" layoutInCell="1" allowOverlap="1" wp14:anchorId="76A5194A" wp14:editId="36C82A5D">
            <wp:simplePos x="0" y="0"/>
            <wp:positionH relativeFrom="column">
              <wp:posOffset>3407410</wp:posOffset>
            </wp:positionH>
            <wp:positionV relativeFrom="paragraph">
              <wp:posOffset>205740</wp:posOffset>
            </wp:positionV>
            <wp:extent cx="1334770" cy="1341120"/>
            <wp:effectExtent l="0" t="0" r="0" b="0"/>
            <wp:wrapNone/>
            <wp:docPr id="47397987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97987" name="Рисунок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F70AB" w:rsidRDefault="00CF70AB">
      <w:pPr>
        <w:spacing w:after="0" w:line="240" w:lineRule="auto"/>
        <w:ind w:left="284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sz w:val="28"/>
        </w:rPr>
      </w:pPr>
    </w:p>
    <w:tbl>
      <w:tblPr>
        <w:tblStyle w:val="ae"/>
        <w:tblW w:w="9497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289"/>
        <w:gridCol w:w="5208"/>
      </w:tblGrid>
      <w:tr w:rsidR="00CF70AB" w:rsidTr="004C11B8"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</w:tcPr>
          <w:p w:rsidR="00CF70AB" w:rsidRDefault="00C63FFC" w:rsidP="00176544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 Чукотского</w:t>
            </w:r>
          </w:p>
          <w:p w:rsidR="00CF70AB" w:rsidRDefault="00C63FFC" w:rsidP="00176544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автономного округа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:rsidR="00CF70AB" w:rsidRDefault="00CF70AB">
            <w:pPr>
              <w:spacing w:after="0"/>
              <w:ind w:left="284"/>
              <w:rPr>
                <w:rFonts w:ascii="Times New Roman" w:hAnsi="Times New Roman"/>
                <w:sz w:val="28"/>
              </w:rPr>
            </w:pPr>
          </w:p>
          <w:p w:rsidR="00CF70AB" w:rsidRDefault="00C63FFC">
            <w:pPr>
              <w:spacing w:after="0"/>
              <w:ind w:left="28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В.Г. Кузнецов</w:t>
            </w:r>
          </w:p>
        </w:tc>
      </w:tr>
    </w:tbl>
    <w:p w:rsidR="00CF70AB" w:rsidRDefault="00CF70AB">
      <w:pPr>
        <w:spacing w:after="0" w:line="240" w:lineRule="auto"/>
        <w:ind w:left="284"/>
        <w:rPr>
          <w:rFonts w:ascii="Times New Roman" w:hAnsi="Times New Roman"/>
          <w:sz w:val="28"/>
        </w:rPr>
      </w:pPr>
    </w:p>
    <w:p w:rsidR="00CF70AB" w:rsidRDefault="00CF70AB">
      <w:pPr>
        <w:spacing w:after="0" w:line="240" w:lineRule="auto"/>
        <w:ind w:left="284"/>
        <w:rPr>
          <w:rFonts w:ascii="Times New Roman" w:hAnsi="Times New Roman"/>
          <w:sz w:val="28"/>
        </w:rPr>
      </w:pPr>
    </w:p>
    <w:p w:rsidR="00CF70AB" w:rsidRDefault="00C63FFC" w:rsidP="00176544">
      <w:pPr>
        <w:spacing w:after="0" w:line="240" w:lineRule="auto"/>
        <w:ind w:left="9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Анадырь</w:t>
      </w:r>
    </w:p>
    <w:p w:rsidR="00CF70AB" w:rsidRDefault="00CF70AB" w:rsidP="00176544">
      <w:pPr>
        <w:spacing w:after="0" w:line="240" w:lineRule="auto"/>
        <w:ind w:left="993"/>
        <w:rPr>
          <w:rFonts w:ascii="Times New Roman" w:hAnsi="Times New Roman"/>
          <w:sz w:val="28"/>
        </w:rPr>
      </w:pPr>
    </w:p>
    <w:p w:rsidR="00CF70AB" w:rsidRDefault="004C11B8" w:rsidP="00176544">
      <w:pPr>
        <w:spacing w:after="0" w:line="240" w:lineRule="auto"/>
        <w:ind w:left="9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 28 </w:t>
      </w:r>
      <w:r w:rsidR="00C63FFC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мая</w:t>
      </w:r>
      <w:r w:rsidR="00C63FFC">
        <w:rPr>
          <w:rFonts w:ascii="Times New Roman" w:hAnsi="Times New Roman"/>
          <w:sz w:val="28"/>
        </w:rPr>
        <w:t xml:space="preserve"> 2025 года</w:t>
      </w:r>
    </w:p>
    <w:p w:rsidR="00CF70AB" w:rsidRDefault="00CF70AB" w:rsidP="00176544">
      <w:pPr>
        <w:spacing w:after="0" w:line="240" w:lineRule="auto"/>
        <w:ind w:left="993"/>
        <w:rPr>
          <w:rFonts w:ascii="Times New Roman" w:hAnsi="Times New Roman"/>
          <w:sz w:val="28"/>
        </w:rPr>
      </w:pPr>
    </w:p>
    <w:p w:rsidR="00CF70AB" w:rsidRDefault="004C11B8" w:rsidP="00176544">
      <w:pPr>
        <w:spacing w:after="0" w:line="240" w:lineRule="auto"/>
        <w:ind w:left="9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35</w:t>
      </w:r>
      <w:r w:rsidR="00C63FFC">
        <w:rPr>
          <w:rFonts w:ascii="Times New Roman" w:hAnsi="Times New Roman"/>
          <w:sz w:val="28"/>
        </w:rPr>
        <w:t>- ОЗ</w:t>
      </w:r>
    </w:p>
    <w:p w:rsidR="00CF70AB" w:rsidRDefault="00CF70AB" w:rsidP="00176544">
      <w:pPr>
        <w:spacing w:after="0" w:line="240" w:lineRule="auto"/>
        <w:ind w:left="284"/>
      </w:pPr>
    </w:p>
    <w:sectPr w:rsidR="00CF70AB" w:rsidSect="00176544">
      <w:headerReference w:type="default" r:id="rId14"/>
      <w:headerReference w:type="first" r:id="rId15"/>
      <w:pgSz w:w="11906" w:h="16838"/>
      <w:pgMar w:top="766" w:right="567" w:bottom="567" w:left="709" w:header="709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722" w:rsidRDefault="00A91722">
      <w:pPr>
        <w:spacing w:after="0" w:line="240" w:lineRule="auto"/>
      </w:pPr>
      <w:r>
        <w:separator/>
      </w:r>
    </w:p>
  </w:endnote>
  <w:endnote w:type="continuationSeparator" w:id="0">
    <w:p w:rsidR="00A91722" w:rsidRDefault="00A9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Arial"/>
    <w:charset w:val="01"/>
    <w:family w:val="swiss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XO Thames">
    <w:altName w:val="Times New Roman"/>
    <w:charset w:val="01"/>
    <w:family w:val="roman"/>
    <w:pitch w:val="variable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722" w:rsidRDefault="00A91722">
      <w:pPr>
        <w:spacing w:after="0" w:line="240" w:lineRule="auto"/>
      </w:pPr>
      <w:r>
        <w:separator/>
      </w:r>
    </w:p>
  </w:footnote>
  <w:footnote w:type="continuationSeparator" w:id="0">
    <w:p w:rsidR="00A91722" w:rsidRDefault="00A9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F70A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63FFC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E44D8">
      <w:rPr>
        <w:rFonts w:ascii="Times New Roman" w:hAnsi="Times New Roman"/>
        <w:noProof/>
      </w:rPr>
      <w:t>1277</w:t>
    </w:r>
    <w:r>
      <w:rPr>
        <w:rFonts w:ascii="Times New Roman" w:hAnsi="Times New Roman"/>
      </w:rPr>
      <w:fldChar w:fldCharType="end"/>
    </w:r>
  </w:p>
  <w:p w:rsidR="00CF70AB" w:rsidRDefault="00CF70A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63FFC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1277</w:t>
    </w:r>
    <w:r>
      <w:rPr>
        <w:rFonts w:ascii="Times New Roman" w:hAnsi="Times New Roman"/>
      </w:rPr>
      <w:fldChar w:fldCharType="end"/>
    </w:r>
  </w:p>
  <w:p w:rsidR="00CF70AB" w:rsidRDefault="00CF70AB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63FFC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E44D8">
      <w:rPr>
        <w:rFonts w:ascii="Times New Roman" w:hAnsi="Times New Roman"/>
        <w:noProof/>
      </w:rPr>
      <w:t>1281</w:t>
    </w:r>
    <w:r>
      <w:rPr>
        <w:rFonts w:ascii="Times New Roman" w:hAnsi="Times New Roman"/>
      </w:rPr>
      <w:fldChar w:fldCharType="end"/>
    </w:r>
  </w:p>
  <w:p w:rsidR="00CF70AB" w:rsidRDefault="00CF70AB">
    <w:pPr>
      <w:pStyle w:val="ab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F70AB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63FFC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E44D8">
      <w:rPr>
        <w:rFonts w:ascii="Times New Roman" w:hAnsi="Times New Roman"/>
        <w:noProof/>
      </w:rPr>
      <w:t>1285</w:t>
    </w:r>
    <w:r>
      <w:rPr>
        <w:rFonts w:ascii="Times New Roman" w:hAnsi="Times New Roman"/>
      </w:rPr>
      <w:fldChar w:fldCharType="end"/>
    </w:r>
  </w:p>
  <w:p w:rsidR="00CF70AB" w:rsidRDefault="00CF70AB">
    <w:pPr>
      <w:pStyle w:val="ab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F70AB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63FFC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E44D8">
      <w:rPr>
        <w:rFonts w:ascii="Times New Roman" w:hAnsi="Times New Roman"/>
        <w:noProof/>
      </w:rPr>
      <w:t>1286</w:t>
    </w:r>
    <w:r>
      <w:rPr>
        <w:rFonts w:ascii="Times New Roman" w:hAnsi="Times New Roman"/>
      </w:rPr>
      <w:fldChar w:fldCharType="end"/>
    </w:r>
  </w:p>
  <w:p w:rsidR="00CF70AB" w:rsidRDefault="00CF70AB">
    <w:pPr>
      <w:pStyle w:val="ab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AB" w:rsidRDefault="00CF70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0AB"/>
    <w:rsid w:val="00176544"/>
    <w:rsid w:val="004C11B8"/>
    <w:rsid w:val="006E44D8"/>
    <w:rsid w:val="00A91722"/>
    <w:rsid w:val="00C63FFC"/>
    <w:rsid w:val="00C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EACA9-98FF-490C-8511-67EEBC27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Noto Sans"/>
        <w:color w:val="000000"/>
        <w:sz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 w:line="276" w:lineRule="auto"/>
      <w:outlineLvl w:val="0"/>
    </w:pPr>
    <w:rPr>
      <w:rFonts w:asciiTheme="majorHAnsi" w:hAnsiTheme="majorHAnsi"/>
      <w:color w:val="2F5496" w:themeColor="accent1" w:themeShade="BF"/>
      <w:sz w:val="40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160" w:after="80" w:line="276" w:lineRule="auto"/>
      <w:outlineLvl w:val="1"/>
    </w:pPr>
    <w:rPr>
      <w:rFonts w:asciiTheme="majorHAnsi" w:hAnsiTheme="majorHAnsi"/>
      <w:color w:val="2F5496" w:themeColor="accent1" w:themeShade="BF"/>
      <w:sz w:val="32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160" w:after="80" w:line="276" w:lineRule="auto"/>
      <w:outlineLvl w:val="2"/>
    </w:pPr>
    <w:rPr>
      <w:color w:val="2F5496" w:themeColor="accent1" w:themeShade="BF"/>
      <w:sz w:val="28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80" w:after="40" w:line="276" w:lineRule="auto"/>
      <w:outlineLvl w:val="3"/>
    </w:pPr>
    <w:rPr>
      <w:i/>
      <w:color w:val="2F5496" w:themeColor="accent1" w:themeShade="BF"/>
      <w:sz w:val="24"/>
    </w:rPr>
  </w:style>
  <w:style w:type="paragraph" w:styleId="5">
    <w:name w:val="heading 5"/>
    <w:basedOn w:val="a"/>
    <w:next w:val="a"/>
    <w:uiPriority w:val="9"/>
    <w:qFormat/>
    <w:pPr>
      <w:keepNext/>
      <w:keepLines/>
      <w:spacing w:before="80" w:after="40" w:line="276" w:lineRule="auto"/>
      <w:outlineLvl w:val="4"/>
    </w:pPr>
    <w:rPr>
      <w:color w:val="2F5496" w:themeColor="accent1" w:themeShade="BF"/>
      <w:sz w:val="24"/>
    </w:rPr>
  </w:style>
  <w:style w:type="paragraph" w:styleId="6">
    <w:name w:val="heading 6"/>
    <w:basedOn w:val="a"/>
    <w:next w:val="a"/>
    <w:uiPriority w:val="9"/>
    <w:qFormat/>
    <w:pPr>
      <w:keepNext/>
      <w:keepLines/>
      <w:spacing w:before="40" w:after="0" w:line="276" w:lineRule="auto"/>
      <w:outlineLvl w:val="5"/>
    </w:pPr>
    <w:rPr>
      <w:i/>
      <w:color w:val="595959" w:themeColor="text1" w:themeTint="A6"/>
      <w:sz w:val="24"/>
    </w:rPr>
  </w:style>
  <w:style w:type="paragraph" w:styleId="7">
    <w:name w:val="heading 7"/>
    <w:basedOn w:val="a"/>
    <w:next w:val="a"/>
    <w:uiPriority w:val="9"/>
    <w:qFormat/>
    <w:pPr>
      <w:keepNext/>
      <w:keepLines/>
      <w:spacing w:before="40" w:after="0" w:line="276" w:lineRule="auto"/>
      <w:outlineLvl w:val="6"/>
    </w:pPr>
    <w:rPr>
      <w:color w:val="595959" w:themeColor="text1" w:themeTint="A6"/>
      <w:sz w:val="24"/>
    </w:rPr>
  </w:style>
  <w:style w:type="paragraph" w:styleId="8">
    <w:name w:val="heading 8"/>
    <w:basedOn w:val="a"/>
    <w:next w:val="a"/>
    <w:uiPriority w:val="9"/>
    <w:qFormat/>
    <w:pPr>
      <w:keepNext/>
      <w:keepLines/>
      <w:spacing w:after="0" w:line="276" w:lineRule="auto"/>
      <w:outlineLvl w:val="7"/>
    </w:pPr>
    <w:rPr>
      <w:i/>
      <w:color w:val="272727" w:themeColor="text1" w:themeTint="D8"/>
      <w:sz w:val="24"/>
    </w:rPr>
  </w:style>
  <w:style w:type="paragraph" w:styleId="9">
    <w:name w:val="heading 9"/>
    <w:basedOn w:val="a"/>
    <w:next w:val="a"/>
    <w:uiPriority w:val="9"/>
    <w:qFormat/>
    <w:pPr>
      <w:keepNext/>
      <w:keepLines/>
      <w:spacing w:after="0" w:line="276" w:lineRule="auto"/>
      <w:outlineLvl w:val="8"/>
    </w:pPr>
    <w:rPr>
      <w:color w:val="272727" w:themeColor="text1" w:themeTint="D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Heading71">
    <w:name w:val="Heading 71"/>
    <w:qFormat/>
    <w:rPr>
      <w:color w:val="595959" w:themeColor="text1" w:themeTint="A6"/>
      <w:sz w:val="24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color w:val="2F5496" w:themeColor="accent1" w:themeShade="BF"/>
      <w:sz w:val="28"/>
    </w:rPr>
  </w:style>
  <w:style w:type="character" w:styleId="a3">
    <w:name w:val="Intense Reference"/>
    <w:basedOn w:val="a0"/>
    <w:link w:val="IntenseReference1"/>
    <w:qFormat/>
    <w:rPr>
      <w:b/>
      <w:smallCaps/>
      <w:color w:val="2F5496" w:themeColor="accent1" w:themeShade="BF"/>
      <w:spacing w:val="5"/>
    </w:rPr>
  </w:style>
  <w:style w:type="character" w:styleId="a4">
    <w:name w:val="Intense Emphasis"/>
    <w:basedOn w:val="a0"/>
    <w:link w:val="IntenseEmphasis1"/>
    <w:qFormat/>
    <w:rPr>
      <w:i/>
      <w:color w:val="2F5496" w:themeColor="accent1" w:themeShade="BF"/>
    </w:rPr>
  </w:style>
  <w:style w:type="character" w:customStyle="1" w:styleId="Heading91">
    <w:name w:val="Heading 91"/>
    <w:qFormat/>
    <w:rPr>
      <w:color w:val="272727" w:themeColor="text1" w:themeTint="D8"/>
      <w:sz w:val="24"/>
    </w:rPr>
  </w:style>
  <w:style w:type="character" w:customStyle="1" w:styleId="10">
    <w:name w:val="Выделенная цитата1"/>
    <w:link w:val="IntenseQuote1"/>
    <w:qFormat/>
    <w:rPr>
      <w:i/>
      <w:color w:val="2F5496" w:themeColor="accent1" w:themeShade="BF"/>
      <w:sz w:val="24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Header1">
    <w:name w:val="Header1"/>
    <w:qFormat/>
  </w:style>
  <w:style w:type="character" w:customStyle="1" w:styleId="Footer1">
    <w:name w:val="Footer1"/>
    <w:qFormat/>
  </w:style>
  <w:style w:type="character" w:customStyle="1" w:styleId="Heading51">
    <w:name w:val="Heading 51"/>
    <w:qFormat/>
    <w:rPr>
      <w:color w:val="2F5496" w:themeColor="accent1" w:themeShade="BF"/>
      <w:sz w:val="24"/>
    </w:rPr>
  </w:style>
  <w:style w:type="character" w:customStyle="1" w:styleId="Heading11">
    <w:name w:val="Heading 11"/>
    <w:qFormat/>
    <w:rPr>
      <w:rFonts w:asciiTheme="majorHAnsi" w:hAnsiTheme="majorHAnsi"/>
      <w:color w:val="2F5496" w:themeColor="accent1" w:themeShade="BF"/>
      <w:sz w:val="40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Heading81">
    <w:name w:val="Heading 81"/>
    <w:qFormat/>
    <w:rPr>
      <w:i/>
      <w:color w:val="272727" w:themeColor="text1" w:themeTint="D8"/>
      <w:sz w:val="24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link w:val="HeaderandFooter1"/>
    <w:qFormat/>
    <w:rPr>
      <w:rFonts w:ascii="XO Thames" w:hAnsi="XO Thames"/>
      <w:sz w:val="2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21">
    <w:name w:val="Цитата 21"/>
    <w:link w:val="Quote1"/>
    <w:qFormat/>
    <w:rPr>
      <w:i/>
      <w:color w:val="404040" w:themeColor="text1" w:themeTint="BF"/>
      <w:sz w:val="24"/>
    </w:rPr>
  </w:style>
  <w:style w:type="character" w:customStyle="1" w:styleId="Subtitle1">
    <w:name w:val="Subtitle1"/>
    <w:qFormat/>
    <w:rPr>
      <w:color w:val="595959" w:themeColor="text1" w:themeTint="A6"/>
      <w:spacing w:val="15"/>
      <w:sz w:val="28"/>
    </w:rPr>
  </w:style>
  <w:style w:type="character" w:customStyle="1" w:styleId="Title1">
    <w:name w:val="Title1"/>
    <w:qFormat/>
    <w:rPr>
      <w:rFonts w:asciiTheme="majorHAnsi" w:hAnsiTheme="majorHAnsi"/>
      <w:spacing w:val="-10"/>
      <w:sz w:val="56"/>
    </w:rPr>
  </w:style>
  <w:style w:type="character" w:customStyle="1" w:styleId="Heading41">
    <w:name w:val="Heading 41"/>
    <w:qFormat/>
    <w:rPr>
      <w:i/>
      <w:color w:val="2F5496" w:themeColor="accent1" w:themeShade="BF"/>
      <w:sz w:val="24"/>
    </w:rPr>
  </w:style>
  <w:style w:type="character" w:customStyle="1" w:styleId="11">
    <w:name w:val="Абзац списка1"/>
    <w:link w:val="ListParagraph1"/>
    <w:qFormat/>
    <w:rPr>
      <w:sz w:val="24"/>
    </w:rPr>
  </w:style>
  <w:style w:type="character" w:customStyle="1" w:styleId="Heading21">
    <w:name w:val="Heading 21"/>
    <w:qFormat/>
    <w:rPr>
      <w:rFonts w:asciiTheme="majorHAnsi" w:hAnsiTheme="majorHAnsi"/>
      <w:color w:val="2F5496" w:themeColor="accent1" w:themeShade="BF"/>
      <w:sz w:val="32"/>
    </w:rPr>
  </w:style>
  <w:style w:type="character" w:customStyle="1" w:styleId="Heading61">
    <w:name w:val="Heading 61"/>
    <w:qFormat/>
    <w:rPr>
      <w:i/>
      <w:color w:val="595959" w:themeColor="text1" w:themeTint="A6"/>
      <w:sz w:val="24"/>
    </w:rPr>
  </w:style>
  <w:style w:type="paragraph" w:styleId="a6">
    <w:name w:val="Title"/>
    <w:basedOn w:val="a"/>
    <w:next w:val="a7"/>
    <w:uiPriority w:val="10"/>
    <w:qFormat/>
    <w:pPr>
      <w:spacing w:after="80" w:line="240" w:lineRule="auto"/>
      <w:contextualSpacing/>
    </w:pPr>
    <w:rPr>
      <w:rFonts w:asciiTheme="majorHAnsi" w:hAnsiTheme="majorHAnsi"/>
      <w:spacing w:val="-10"/>
      <w:sz w:val="56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spacing w:after="160" w:line="276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76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uiPriority w:val="39"/>
    <w:pPr>
      <w:spacing w:after="160" w:line="276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uiPriority w:val="39"/>
    <w:pPr>
      <w:spacing w:after="160" w:line="276" w:lineRule="auto"/>
      <w:ind w:left="1200"/>
    </w:pPr>
    <w:rPr>
      <w:rFonts w:ascii="XO Thames" w:hAnsi="XO Thames"/>
      <w:sz w:val="28"/>
    </w:rPr>
  </w:style>
  <w:style w:type="paragraph" w:customStyle="1" w:styleId="Endnote1">
    <w:name w:val="Endnote1"/>
    <w:link w:val="Endnote"/>
    <w:qFormat/>
    <w:pPr>
      <w:spacing w:after="160" w:line="276" w:lineRule="auto"/>
      <w:ind w:firstLine="851"/>
      <w:jc w:val="both"/>
    </w:pPr>
    <w:rPr>
      <w:rFonts w:ascii="XO Thames" w:hAnsi="XO Thames"/>
      <w:sz w:val="22"/>
    </w:rPr>
  </w:style>
  <w:style w:type="paragraph" w:customStyle="1" w:styleId="DefaultParagraphFont1">
    <w:name w:val="Default Paragraph Font1"/>
    <w:qFormat/>
    <w:pPr>
      <w:spacing w:after="160" w:line="276" w:lineRule="auto"/>
    </w:pPr>
  </w:style>
  <w:style w:type="paragraph" w:customStyle="1" w:styleId="IntenseReference1">
    <w:name w:val="Intense Reference1"/>
    <w:basedOn w:val="DefaultParagraphFont1"/>
    <w:link w:val="a3"/>
    <w:qFormat/>
    <w:rPr>
      <w:b/>
      <w:smallCaps/>
      <w:color w:val="2F5496" w:themeColor="accent1" w:themeShade="BF"/>
      <w:spacing w:val="5"/>
    </w:rPr>
  </w:style>
  <w:style w:type="paragraph" w:customStyle="1" w:styleId="IntenseEmphasis1">
    <w:name w:val="Intense Emphasis1"/>
    <w:basedOn w:val="DefaultParagraphFont1"/>
    <w:link w:val="a4"/>
    <w:qFormat/>
    <w:rPr>
      <w:i/>
      <w:color w:val="2F5496" w:themeColor="accent1" w:themeShade="BF"/>
    </w:rPr>
  </w:style>
  <w:style w:type="paragraph" w:customStyle="1" w:styleId="IntenseQuote1">
    <w:name w:val="Intense Quote1"/>
    <w:basedOn w:val="a"/>
    <w:next w:val="a"/>
    <w:link w:val="10"/>
    <w:qFormat/>
    <w:pPr>
      <w:spacing w:before="360" w:after="360" w:line="276" w:lineRule="auto"/>
      <w:ind w:left="864" w:right="864"/>
      <w:jc w:val="center"/>
    </w:pPr>
    <w:rPr>
      <w:i/>
      <w:color w:val="2F5496" w:themeColor="accent1" w:themeShade="BF"/>
      <w:sz w:val="24"/>
    </w:rPr>
  </w:style>
  <w:style w:type="paragraph" w:styleId="30">
    <w:name w:val="toc 3"/>
    <w:next w:val="a"/>
    <w:uiPriority w:val="39"/>
    <w:pPr>
      <w:spacing w:after="160" w:line="276" w:lineRule="auto"/>
      <w:ind w:left="400"/>
    </w:pPr>
    <w:rPr>
      <w:rFonts w:ascii="XO Thames" w:hAnsi="XO Thames"/>
      <w:sz w:val="28"/>
    </w:rPr>
  </w:style>
  <w:style w:type="paragraph" w:customStyle="1" w:styleId="HeaderandFooter1">
    <w:name w:val="Header and Footer1"/>
    <w:link w:val="HeaderandFooter"/>
    <w:qFormat/>
    <w:pPr>
      <w:spacing w:after="160"/>
      <w:jc w:val="both"/>
    </w:pPr>
    <w:rPr>
      <w:rFonts w:ascii="XO Thames" w:hAnsi="XO Thames"/>
      <w:sz w:val="28"/>
    </w:rPr>
  </w:style>
  <w:style w:type="paragraph" w:styleId="ab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Internetlink">
    <w:name w:val="Internet link"/>
    <w:qFormat/>
    <w:pPr>
      <w:spacing w:after="160" w:line="276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spacing w:after="160" w:line="276" w:lineRule="auto"/>
      <w:ind w:firstLine="851"/>
      <w:jc w:val="both"/>
    </w:pPr>
    <w:rPr>
      <w:rFonts w:ascii="XO Thames" w:hAnsi="XO Thames"/>
      <w:sz w:val="22"/>
    </w:rPr>
  </w:style>
  <w:style w:type="paragraph" w:styleId="12">
    <w:name w:val="toc 1"/>
    <w:next w:val="a"/>
    <w:uiPriority w:val="39"/>
    <w:pPr>
      <w:spacing w:after="160" w:line="276" w:lineRule="auto"/>
    </w:pPr>
    <w:rPr>
      <w:rFonts w:ascii="XO Thames" w:hAnsi="XO Thames"/>
      <w:b/>
      <w:sz w:val="28"/>
    </w:rPr>
  </w:style>
  <w:style w:type="paragraph" w:styleId="90">
    <w:name w:val="toc 9"/>
    <w:next w:val="a"/>
    <w:uiPriority w:val="39"/>
    <w:pPr>
      <w:spacing w:after="160" w:line="276" w:lineRule="auto"/>
      <w:ind w:left="1600"/>
    </w:pPr>
    <w:rPr>
      <w:rFonts w:ascii="XO Thames" w:hAnsi="XO Thames"/>
      <w:sz w:val="28"/>
    </w:rPr>
  </w:style>
  <w:style w:type="paragraph" w:styleId="80">
    <w:name w:val="toc 8"/>
    <w:next w:val="a"/>
    <w:uiPriority w:val="39"/>
    <w:pPr>
      <w:spacing w:after="160" w:line="276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76" w:lineRule="auto"/>
      <w:ind w:left="800"/>
    </w:pPr>
    <w:rPr>
      <w:rFonts w:ascii="XO Thames" w:hAnsi="XO Thames"/>
      <w:sz w:val="28"/>
    </w:rPr>
  </w:style>
  <w:style w:type="paragraph" w:customStyle="1" w:styleId="Quote1">
    <w:name w:val="Quote1"/>
    <w:basedOn w:val="a"/>
    <w:next w:val="a"/>
    <w:link w:val="21"/>
    <w:qFormat/>
    <w:pPr>
      <w:spacing w:before="160" w:line="276" w:lineRule="auto"/>
      <w:jc w:val="center"/>
    </w:pPr>
    <w:rPr>
      <w:i/>
      <w:color w:val="404040" w:themeColor="text1" w:themeTint="BF"/>
      <w:sz w:val="24"/>
    </w:rPr>
  </w:style>
  <w:style w:type="paragraph" w:styleId="ad">
    <w:name w:val="Subtitle"/>
    <w:basedOn w:val="a"/>
    <w:next w:val="a"/>
    <w:uiPriority w:val="11"/>
    <w:qFormat/>
    <w:pPr>
      <w:spacing w:line="276" w:lineRule="auto"/>
    </w:pPr>
    <w:rPr>
      <w:color w:val="595959" w:themeColor="text1" w:themeTint="A6"/>
      <w:spacing w:val="15"/>
      <w:sz w:val="28"/>
    </w:rPr>
  </w:style>
  <w:style w:type="paragraph" w:customStyle="1" w:styleId="ListParagraph1">
    <w:name w:val="List Paragraph1"/>
    <w:basedOn w:val="a"/>
    <w:link w:val="11"/>
    <w:qFormat/>
    <w:pPr>
      <w:spacing w:line="276" w:lineRule="auto"/>
      <w:ind w:left="720"/>
      <w:contextualSpacing/>
    </w:pPr>
    <w:rPr>
      <w:sz w:val="24"/>
    </w:rPr>
  </w:style>
  <w:style w:type="table" w:styleId="ae">
    <w:name w:val="Table Grid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9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2312</Words>
  <Characters>13184</Characters>
  <Application>Microsoft Office Word</Application>
  <DocSecurity>0</DocSecurity>
  <Lines>109</Lines>
  <Paragraphs>30</Paragraphs>
  <ScaleCrop>false</ScaleCrop>
  <Company/>
  <LinksUpToDate>false</LinksUpToDate>
  <CharactersWithSpaces>15466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Чепурнова Оксана Валерьевна</cp:lastModifiedBy>
  <cp:revision>4</cp:revision>
  <dcterms:created xsi:type="dcterms:W3CDTF">2025-05-27T22:21:00Z</dcterms:created>
  <dcterms:modified xsi:type="dcterms:W3CDTF">2025-05-27T23:55:00Z</dcterms:modified>
  <dc:language>ru-RU</dc:language>
</cp:coreProperties>
</file>