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B4" w:rsidRPr="00FB22B4" w:rsidRDefault="00C1630B" w:rsidP="003A3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66B6">
        <w:rPr>
          <w:rFonts w:ascii="Times New Roman" w:hAnsi="Times New Roman" w:cs="Times New Roman"/>
          <w:sz w:val="26"/>
          <w:szCs w:val="26"/>
        </w:rPr>
        <w:t xml:space="preserve">В </w:t>
      </w:r>
      <w:r w:rsidRPr="0071363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A66B6">
        <w:rPr>
          <w:rFonts w:ascii="Times New Roman" w:hAnsi="Times New Roman" w:cs="Times New Roman"/>
          <w:sz w:val="26"/>
          <w:szCs w:val="26"/>
        </w:rPr>
        <w:t xml:space="preserve"> квартале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A38B4">
        <w:rPr>
          <w:rFonts w:ascii="Times New Roman" w:hAnsi="Times New Roman" w:cs="Times New Roman"/>
          <w:sz w:val="26"/>
          <w:szCs w:val="26"/>
        </w:rPr>
        <w:t>1</w:t>
      </w:r>
      <w:r w:rsidR="003A38B4" w:rsidRPr="003A38B4">
        <w:rPr>
          <w:rFonts w:ascii="Times New Roman" w:hAnsi="Times New Roman" w:cs="Times New Roman"/>
          <w:sz w:val="25"/>
          <w:szCs w:val="25"/>
        </w:rPr>
        <w:t xml:space="preserve"> </w:t>
      </w:r>
      <w:r w:rsidR="003A38B4" w:rsidRPr="00FB22B4">
        <w:rPr>
          <w:rFonts w:ascii="Times New Roman" w:hAnsi="Times New Roman" w:cs="Times New Roman"/>
          <w:sz w:val="25"/>
          <w:szCs w:val="25"/>
        </w:rPr>
        <w:t xml:space="preserve">проведено </w:t>
      </w:r>
      <w:r w:rsidR="00225823">
        <w:rPr>
          <w:rFonts w:ascii="Times New Roman" w:hAnsi="Times New Roman" w:cs="Times New Roman"/>
          <w:sz w:val="25"/>
          <w:szCs w:val="25"/>
        </w:rPr>
        <w:t>два</w:t>
      </w:r>
      <w:r w:rsidR="003A38B4">
        <w:rPr>
          <w:rFonts w:ascii="Times New Roman" w:hAnsi="Times New Roman" w:cs="Times New Roman"/>
          <w:sz w:val="25"/>
          <w:szCs w:val="25"/>
        </w:rPr>
        <w:t xml:space="preserve"> </w:t>
      </w:r>
      <w:r w:rsidR="003A38B4" w:rsidRPr="00FB22B4">
        <w:rPr>
          <w:rFonts w:ascii="Times New Roman" w:hAnsi="Times New Roman" w:cs="Times New Roman"/>
          <w:sz w:val="25"/>
          <w:szCs w:val="25"/>
        </w:rPr>
        <w:t>заседани</w:t>
      </w:r>
      <w:r w:rsidR="00225823">
        <w:rPr>
          <w:rFonts w:ascii="Times New Roman" w:hAnsi="Times New Roman" w:cs="Times New Roman"/>
          <w:sz w:val="25"/>
          <w:szCs w:val="25"/>
        </w:rPr>
        <w:t>я</w:t>
      </w:r>
      <w:bookmarkStart w:id="0" w:name="_GoBack"/>
      <w:bookmarkEnd w:id="0"/>
      <w:r w:rsidR="003A38B4" w:rsidRPr="00FB22B4">
        <w:rPr>
          <w:rFonts w:ascii="Times New Roman" w:hAnsi="Times New Roman" w:cs="Times New Roman"/>
          <w:sz w:val="25"/>
          <w:szCs w:val="25"/>
        </w:rPr>
        <w:t xml:space="preserve"> Комиссии по соблюдению требований служебного поведения государственных гражданских служащих Департамента природных ресурсов и экологии Чукотского автономного округа </w:t>
      </w:r>
      <w:r w:rsidR="003A38B4">
        <w:rPr>
          <w:rFonts w:ascii="Times New Roman" w:hAnsi="Times New Roman" w:cs="Times New Roman"/>
          <w:sz w:val="25"/>
          <w:szCs w:val="25"/>
        </w:rPr>
        <w:t xml:space="preserve">                   </w:t>
      </w:r>
      <w:r w:rsidR="003A38B4" w:rsidRPr="00FB22B4">
        <w:rPr>
          <w:rFonts w:ascii="Times New Roman" w:hAnsi="Times New Roman" w:cs="Times New Roman"/>
          <w:sz w:val="25"/>
          <w:szCs w:val="25"/>
        </w:rPr>
        <w:t>и урегулированию конфликта интересов</w:t>
      </w:r>
      <w:r w:rsidR="003A38B4">
        <w:rPr>
          <w:rFonts w:ascii="Times New Roman" w:hAnsi="Times New Roman" w:cs="Times New Roman"/>
          <w:sz w:val="25"/>
          <w:szCs w:val="25"/>
        </w:rPr>
        <w:t>,</w:t>
      </w:r>
      <w:r w:rsidR="003A38B4" w:rsidRPr="00FB22B4">
        <w:rPr>
          <w:rFonts w:ascii="Times New Roman" w:hAnsi="Times New Roman" w:cs="Times New Roman"/>
          <w:sz w:val="25"/>
          <w:szCs w:val="25"/>
        </w:rPr>
        <w:t xml:space="preserve"> на которых рассмотрены вопросы </w:t>
      </w:r>
      <w:r w:rsidR="003A38B4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="003A38B4" w:rsidRPr="00FB22B4">
        <w:rPr>
          <w:rFonts w:ascii="Times New Roman" w:hAnsi="Times New Roman" w:cs="Times New Roman"/>
          <w:sz w:val="25"/>
          <w:szCs w:val="25"/>
        </w:rPr>
        <w:t>по следующим темам:</w:t>
      </w:r>
    </w:p>
    <w:p w:rsidR="00C1630B" w:rsidRPr="00D21BBB" w:rsidRDefault="00C1630B" w:rsidP="00C16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6B6">
        <w:rPr>
          <w:rFonts w:ascii="Times New Roman" w:hAnsi="Times New Roman" w:cs="Times New Roman"/>
          <w:sz w:val="26"/>
          <w:szCs w:val="26"/>
        </w:rPr>
        <w:t xml:space="preserve"> </w:t>
      </w:r>
      <w:r w:rsidRPr="00D21BBB">
        <w:rPr>
          <w:rFonts w:ascii="Times New Roman" w:hAnsi="Times New Roman" w:cs="Times New Roman"/>
          <w:b/>
          <w:sz w:val="26"/>
          <w:szCs w:val="26"/>
        </w:rPr>
        <w:t>Протокол № 1 от 1</w:t>
      </w:r>
      <w:r w:rsidR="00D21BBB" w:rsidRPr="00D21BBB">
        <w:rPr>
          <w:rFonts w:ascii="Times New Roman" w:hAnsi="Times New Roman" w:cs="Times New Roman"/>
          <w:b/>
          <w:sz w:val="26"/>
          <w:szCs w:val="26"/>
        </w:rPr>
        <w:t>1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 января 202</w:t>
      </w:r>
      <w:r w:rsidR="00D21BBB" w:rsidRPr="00D21BBB">
        <w:rPr>
          <w:rFonts w:ascii="Times New Roman" w:hAnsi="Times New Roman" w:cs="Times New Roman"/>
          <w:b/>
          <w:sz w:val="26"/>
          <w:szCs w:val="26"/>
        </w:rPr>
        <w:t>1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21BBB" w:rsidRPr="00986327" w:rsidRDefault="00D21BBB" w:rsidP="00D2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21BBB" w:rsidRPr="008512D2" w:rsidRDefault="00D21BBB" w:rsidP="00D21B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8512D2">
        <w:rPr>
          <w:rFonts w:ascii="Times New Roman" w:hAnsi="Times New Roman" w:cs="Times New Roman"/>
          <w:i/>
          <w:sz w:val="25"/>
          <w:szCs w:val="25"/>
        </w:rPr>
        <w:t>1) Рассмотрение уведомлений  о выполнении иной оплачиваемой работы.</w:t>
      </w:r>
    </w:p>
    <w:p w:rsidR="00D21BBB" w:rsidRPr="006177E2" w:rsidRDefault="00D21BBB" w:rsidP="00D21B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77E2">
        <w:rPr>
          <w:rFonts w:ascii="Times New Roman" w:hAnsi="Times New Roman" w:cs="Times New Roman"/>
          <w:sz w:val="25"/>
          <w:szCs w:val="25"/>
        </w:rPr>
        <w:t xml:space="preserve">Докладчиком выступила начальник Отдела административно-правовой </w:t>
      </w:r>
      <w:r w:rsidR="00845C76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6177E2">
        <w:rPr>
          <w:rFonts w:ascii="Times New Roman" w:hAnsi="Times New Roman" w:cs="Times New Roman"/>
          <w:sz w:val="25"/>
          <w:szCs w:val="25"/>
        </w:rPr>
        <w:t xml:space="preserve">и кадровой работы Департамента Самойлович Анна Юрьевна, которая информировала членов Комиссии, независимых экспертов,  что </w:t>
      </w:r>
      <w:r w:rsidR="00845C76">
        <w:rPr>
          <w:rFonts w:ascii="Times New Roman" w:hAnsi="Times New Roman" w:cs="Times New Roman"/>
          <w:sz w:val="25"/>
          <w:szCs w:val="25"/>
        </w:rPr>
        <w:t>в первый рабочий день 11</w:t>
      </w:r>
      <w:r w:rsidRPr="006177E2">
        <w:rPr>
          <w:rFonts w:ascii="Times New Roman" w:hAnsi="Times New Roman" w:cs="Times New Roman"/>
          <w:sz w:val="25"/>
          <w:szCs w:val="25"/>
        </w:rPr>
        <w:t>.</w:t>
      </w:r>
      <w:r w:rsidR="00845C76">
        <w:rPr>
          <w:rFonts w:ascii="Times New Roman" w:hAnsi="Times New Roman" w:cs="Times New Roman"/>
          <w:sz w:val="25"/>
          <w:szCs w:val="25"/>
        </w:rPr>
        <w:t>0</w:t>
      </w:r>
      <w:r w:rsidRPr="006177E2">
        <w:rPr>
          <w:rFonts w:ascii="Times New Roman" w:hAnsi="Times New Roman" w:cs="Times New Roman"/>
          <w:sz w:val="25"/>
          <w:szCs w:val="25"/>
        </w:rPr>
        <w:t>1.202</w:t>
      </w:r>
      <w:r w:rsidR="00845C76">
        <w:rPr>
          <w:rFonts w:ascii="Times New Roman" w:hAnsi="Times New Roman" w:cs="Times New Roman"/>
          <w:sz w:val="25"/>
          <w:szCs w:val="25"/>
        </w:rPr>
        <w:t>1</w:t>
      </w:r>
      <w:r w:rsidRPr="006177E2">
        <w:rPr>
          <w:rFonts w:ascii="Times New Roman" w:hAnsi="Times New Roman" w:cs="Times New Roman"/>
          <w:sz w:val="25"/>
          <w:szCs w:val="25"/>
        </w:rPr>
        <w:t xml:space="preserve">, согласно части 2 статьи 14 Федерального закона от 27 июля 2004 года № 79-ФЗ </w:t>
      </w:r>
      <w:r w:rsidR="00EE17FE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6177E2">
        <w:rPr>
          <w:rFonts w:ascii="Times New Roman" w:hAnsi="Times New Roman" w:cs="Times New Roman"/>
          <w:sz w:val="25"/>
          <w:szCs w:val="25"/>
        </w:rPr>
        <w:t xml:space="preserve"> «О государственной гражданской службе Ро</w:t>
      </w:r>
      <w:r w:rsidR="00EE17FE">
        <w:rPr>
          <w:rFonts w:ascii="Times New Roman" w:hAnsi="Times New Roman" w:cs="Times New Roman"/>
          <w:sz w:val="25"/>
          <w:szCs w:val="25"/>
        </w:rPr>
        <w:t xml:space="preserve">ссийской Федерации», уведомление                </w:t>
      </w:r>
      <w:r w:rsidRPr="006177E2">
        <w:rPr>
          <w:rFonts w:ascii="Times New Roman" w:hAnsi="Times New Roman" w:cs="Times New Roman"/>
          <w:sz w:val="25"/>
          <w:szCs w:val="25"/>
        </w:rPr>
        <w:t xml:space="preserve"> о намерении выполнять иную оплачиваемую работу подала начальник отдела водных отношений Управления природопользования и охраны окружающей среды Департамента природных ресурсов </w:t>
      </w:r>
      <w:r w:rsidR="00EE17FE">
        <w:rPr>
          <w:rFonts w:ascii="Times New Roman" w:hAnsi="Times New Roman" w:cs="Times New Roman"/>
          <w:sz w:val="25"/>
          <w:szCs w:val="25"/>
        </w:rPr>
        <w:t>и</w:t>
      </w:r>
      <w:r w:rsidRPr="006177E2">
        <w:rPr>
          <w:rFonts w:ascii="Times New Roman" w:hAnsi="Times New Roman" w:cs="Times New Roman"/>
          <w:sz w:val="25"/>
          <w:szCs w:val="25"/>
        </w:rPr>
        <w:t xml:space="preserve"> экологии Чукотского автономного округа Капитаненко Маргарита Валентиновна:</w:t>
      </w:r>
    </w:p>
    <w:p w:rsidR="00D21BBB" w:rsidRPr="006177E2" w:rsidRDefault="00D21BBB" w:rsidP="00D21B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77E2">
        <w:rPr>
          <w:rFonts w:ascii="Times New Roman" w:hAnsi="Times New Roman" w:cs="Times New Roman"/>
          <w:sz w:val="25"/>
          <w:szCs w:val="25"/>
        </w:rPr>
        <w:t xml:space="preserve">Государственный гражданский служащий Департамента намерен осуществлять в порядке внешнего совместительства обязанности специалиста отдела делопроизводства Организационного управления Аппарата Губернатора </w:t>
      </w:r>
      <w:r w:rsidR="001742AB">
        <w:rPr>
          <w:rFonts w:ascii="Times New Roman" w:hAnsi="Times New Roman" w:cs="Times New Roman"/>
          <w:sz w:val="25"/>
          <w:szCs w:val="25"/>
        </w:rPr>
        <w:t xml:space="preserve">                                </w:t>
      </w:r>
      <w:r w:rsidRPr="006177E2">
        <w:rPr>
          <w:rFonts w:ascii="Times New Roman" w:hAnsi="Times New Roman" w:cs="Times New Roman"/>
          <w:sz w:val="25"/>
          <w:szCs w:val="25"/>
        </w:rPr>
        <w:t>и Правительства Чукотского автономного округа в период с 1</w:t>
      </w:r>
      <w:r w:rsidR="00EE17FE">
        <w:rPr>
          <w:rFonts w:ascii="Times New Roman" w:hAnsi="Times New Roman" w:cs="Times New Roman"/>
          <w:sz w:val="25"/>
          <w:szCs w:val="25"/>
        </w:rPr>
        <w:t>1 января по 0</w:t>
      </w:r>
      <w:r w:rsidRPr="006177E2">
        <w:rPr>
          <w:rFonts w:ascii="Times New Roman" w:hAnsi="Times New Roman" w:cs="Times New Roman"/>
          <w:sz w:val="25"/>
          <w:szCs w:val="25"/>
        </w:rPr>
        <w:t xml:space="preserve">1 </w:t>
      </w:r>
      <w:r w:rsidR="00EE17FE">
        <w:rPr>
          <w:rFonts w:ascii="Times New Roman" w:hAnsi="Times New Roman" w:cs="Times New Roman"/>
          <w:sz w:val="25"/>
          <w:szCs w:val="25"/>
        </w:rPr>
        <w:t xml:space="preserve">июля </w:t>
      </w:r>
      <w:r w:rsidRPr="006177E2">
        <w:rPr>
          <w:rFonts w:ascii="Times New Roman" w:hAnsi="Times New Roman" w:cs="Times New Roman"/>
          <w:sz w:val="25"/>
          <w:szCs w:val="25"/>
        </w:rPr>
        <w:t>202</w:t>
      </w:r>
      <w:r w:rsidR="00EE17FE">
        <w:rPr>
          <w:rFonts w:ascii="Times New Roman" w:hAnsi="Times New Roman" w:cs="Times New Roman"/>
          <w:sz w:val="25"/>
          <w:szCs w:val="25"/>
        </w:rPr>
        <w:t>1</w:t>
      </w:r>
      <w:r w:rsidRPr="006177E2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D21BBB" w:rsidRDefault="00D21BBB" w:rsidP="00D21B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22B4">
        <w:rPr>
          <w:rFonts w:ascii="Times New Roman" w:hAnsi="Times New Roman" w:cs="Times New Roman"/>
          <w:sz w:val="25"/>
          <w:szCs w:val="25"/>
        </w:rPr>
        <w:t xml:space="preserve">Рассмотрев уведомление, комиссия установила, что в данном случае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FB22B4">
        <w:rPr>
          <w:rFonts w:ascii="Times New Roman" w:hAnsi="Times New Roman" w:cs="Times New Roman"/>
          <w:sz w:val="25"/>
          <w:szCs w:val="25"/>
        </w:rPr>
        <w:t xml:space="preserve">не содержится признаков личной заинтересованности, которая может привести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</w:t>
      </w:r>
      <w:r w:rsidRPr="00FB22B4">
        <w:rPr>
          <w:rFonts w:ascii="Times New Roman" w:hAnsi="Times New Roman" w:cs="Times New Roman"/>
          <w:sz w:val="25"/>
          <w:szCs w:val="25"/>
        </w:rPr>
        <w:t xml:space="preserve">к конфликту интересов при выполнении иной оплачиваемой работы государственным гражданским служащим </w:t>
      </w:r>
      <w:r>
        <w:rPr>
          <w:rFonts w:ascii="Times New Roman" w:hAnsi="Times New Roman" w:cs="Times New Roman"/>
          <w:sz w:val="25"/>
          <w:szCs w:val="25"/>
        </w:rPr>
        <w:t>Департамента</w:t>
      </w:r>
      <w:r w:rsidRPr="00FB22B4">
        <w:rPr>
          <w:rFonts w:ascii="Times New Roman" w:hAnsi="Times New Roman" w:cs="Times New Roman"/>
          <w:sz w:val="25"/>
          <w:szCs w:val="25"/>
        </w:rPr>
        <w:t xml:space="preserve"> природных ресурсов и экологии Чукотского автономного округа.</w:t>
      </w:r>
    </w:p>
    <w:p w:rsidR="003C55C9" w:rsidRPr="00491D7A" w:rsidRDefault="003C55C9" w:rsidP="00D21B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91D7A" w:rsidRPr="00D21BBB" w:rsidRDefault="00491D7A" w:rsidP="00491D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BBB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004E6C">
        <w:rPr>
          <w:rFonts w:ascii="Times New Roman" w:hAnsi="Times New Roman" w:cs="Times New Roman"/>
          <w:b/>
          <w:sz w:val="26"/>
          <w:szCs w:val="26"/>
        </w:rPr>
        <w:t xml:space="preserve">2 от 25 </w:t>
      </w:r>
      <w:r w:rsidRPr="00D21BBB">
        <w:rPr>
          <w:rFonts w:ascii="Times New Roman" w:hAnsi="Times New Roman" w:cs="Times New Roman"/>
          <w:b/>
          <w:sz w:val="26"/>
          <w:szCs w:val="26"/>
        </w:rPr>
        <w:t>января 2021 года</w:t>
      </w:r>
    </w:p>
    <w:p w:rsidR="003B0D53" w:rsidRPr="00491D7A" w:rsidRDefault="003B0D53" w:rsidP="00D21B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B0D53" w:rsidRDefault="003B0D53" w:rsidP="00491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04E6C">
        <w:rPr>
          <w:rFonts w:ascii="Times New Roman" w:hAnsi="Times New Roman" w:cs="Times New Roman"/>
          <w:i/>
          <w:sz w:val="25"/>
          <w:szCs w:val="25"/>
        </w:rPr>
        <w:t>1) Обзор Методических рекомендаций Минтруда России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                  в 2021 году (за отчётный 2020 год).</w:t>
      </w:r>
    </w:p>
    <w:p w:rsidR="00EA4A03" w:rsidRPr="00EA4A03" w:rsidRDefault="00EA4A03" w:rsidP="00EA4A03">
      <w:pPr>
        <w:tabs>
          <w:tab w:val="left" w:pos="91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A4A03">
        <w:rPr>
          <w:rFonts w:ascii="Times New Roman" w:hAnsi="Times New Roman" w:cs="Times New Roman"/>
          <w:sz w:val="25"/>
          <w:szCs w:val="25"/>
        </w:rPr>
        <w:t xml:space="preserve">Докладчиком выступила начальник Отдела административно-правовой                         и кадровой работы Департамента Самойлович Анна Юрьевна, которая пояснила, что </w:t>
      </w:r>
      <w:r w:rsidR="0033119D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EA4A03">
        <w:rPr>
          <w:rFonts w:ascii="Times New Roman" w:hAnsi="Times New Roman" w:cs="Times New Roman"/>
          <w:sz w:val="25"/>
          <w:szCs w:val="25"/>
        </w:rPr>
        <w:t>в рамках реализации пункта 25 Указа Президента Российской Федерации от 02.04.2013 № 309 «О противодействии коррупции» Министерством труда и социальной защиты Российской Федерации подготовлены обновлённые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(Справка БК) для использования в ходе декларационной компании 2021 года (за отчётный период 2020 года). Данные Методические рекомендации разъясняют отдельные ситуации, возникающие  при заполнении справок о доходах, расходах,                          об имуществе и обязательствах имущественного характера.</w:t>
      </w:r>
    </w:p>
    <w:p w:rsidR="00EA4A03" w:rsidRPr="0033119D" w:rsidRDefault="00EA4A03" w:rsidP="00331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3119D">
        <w:rPr>
          <w:rFonts w:ascii="Times New Roman" w:hAnsi="Times New Roman" w:cs="Times New Roman"/>
          <w:sz w:val="25"/>
          <w:szCs w:val="25"/>
        </w:rPr>
        <w:t xml:space="preserve">Положения новых </w:t>
      </w:r>
      <w:hyperlink r:id="rId6" w:history="1">
        <w:r w:rsidRPr="0033119D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Методических рекомендаций</w:t>
        </w:r>
      </w:hyperlink>
      <w:r w:rsidRPr="0033119D">
        <w:rPr>
          <w:rFonts w:ascii="Times New Roman" w:hAnsi="Times New Roman" w:cs="Times New Roman"/>
          <w:sz w:val="25"/>
          <w:szCs w:val="25"/>
        </w:rPr>
        <w:t xml:space="preserve"> (далее – Рекомендации) актуализированы с учетом изменений нормативных актов Российской Федерации. </w:t>
      </w:r>
    </w:p>
    <w:p w:rsidR="007A31C5" w:rsidRPr="007A31C5" w:rsidRDefault="007A31C5" w:rsidP="007A31C5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31C5">
        <w:rPr>
          <w:rFonts w:ascii="Times New Roman" w:hAnsi="Times New Roman" w:cs="Times New Roman"/>
          <w:sz w:val="25"/>
          <w:szCs w:val="25"/>
        </w:rPr>
        <w:t xml:space="preserve">Заместитель председателя Комиссии Самойлович А.Ю. просила руководителей Управлений Департамента в ходе использования в работе указанных </w:t>
      </w:r>
      <w:hyperlink r:id="rId7" w:history="1">
        <w:r w:rsidRPr="00B555AA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Методических рекомендаци</w:t>
        </w:r>
        <w:r w:rsidRPr="00CE0A28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й</w:t>
        </w:r>
      </w:hyperlink>
      <w:r w:rsidRPr="007A31C5">
        <w:rPr>
          <w:rFonts w:ascii="Times New Roman" w:hAnsi="Times New Roman" w:cs="Times New Roman"/>
          <w:sz w:val="25"/>
          <w:szCs w:val="25"/>
        </w:rPr>
        <w:t xml:space="preserve"> донести информацию до сведения всех государственных гражданских служащих вверенных им Управлений и провести</w:t>
      </w:r>
      <w:r w:rsidR="00B555AA">
        <w:rPr>
          <w:rFonts w:ascii="Times New Roman" w:hAnsi="Times New Roman" w:cs="Times New Roman"/>
          <w:sz w:val="25"/>
          <w:szCs w:val="25"/>
        </w:rPr>
        <w:t xml:space="preserve"> </w:t>
      </w:r>
      <w:r w:rsidRPr="007A31C5">
        <w:rPr>
          <w:rFonts w:ascii="Times New Roman" w:hAnsi="Times New Roman" w:cs="Times New Roman"/>
          <w:sz w:val="25"/>
          <w:szCs w:val="25"/>
        </w:rPr>
        <w:t xml:space="preserve"> с личным составом разъяснительную работу по заполнению сведений  о доходах, расходах, об имуществе и обязательствах </w:t>
      </w:r>
      <w:r w:rsidRPr="007A31C5">
        <w:rPr>
          <w:rFonts w:ascii="Times New Roman" w:hAnsi="Times New Roman" w:cs="Times New Roman"/>
          <w:sz w:val="25"/>
          <w:szCs w:val="25"/>
        </w:rPr>
        <w:lastRenderedPageBreak/>
        <w:t>имущественного характера за отчётный период 2020 года с предложением обратить внимание на следующее:</w:t>
      </w:r>
    </w:p>
    <w:p w:rsidR="007A31C5" w:rsidRP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1" w:name="sub_1"/>
      <w:r w:rsidRPr="007A31C5">
        <w:rPr>
          <w:rFonts w:ascii="Times New Roman" w:hAnsi="Times New Roman" w:cs="Times New Roman"/>
          <w:sz w:val="25"/>
          <w:szCs w:val="25"/>
        </w:rPr>
        <w:t xml:space="preserve">– в </w:t>
      </w:r>
      <w:hyperlink r:id="rId8" w:history="1">
        <w:r w:rsidRPr="00B555AA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пункте 6</w:t>
        </w:r>
      </w:hyperlink>
      <w:r w:rsidRPr="00B555AA">
        <w:rPr>
          <w:rFonts w:ascii="Times New Roman" w:hAnsi="Times New Roman" w:cs="Times New Roman"/>
          <w:sz w:val="25"/>
          <w:szCs w:val="25"/>
        </w:rPr>
        <w:t xml:space="preserve"> </w:t>
      </w:r>
      <w:r w:rsidRPr="007A31C5">
        <w:rPr>
          <w:rFonts w:ascii="Times New Roman" w:hAnsi="Times New Roman" w:cs="Times New Roman"/>
          <w:sz w:val="25"/>
          <w:szCs w:val="25"/>
        </w:rPr>
        <w:t>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</w:t>
      </w:r>
    </w:p>
    <w:p w:rsidR="007A31C5" w:rsidRP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2" w:name="sub_2"/>
      <w:bookmarkEnd w:id="1"/>
      <w:r w:rsidRPr="007A31C5">
        <w:rPr>
          <w:rFonts w:ascii="Times New Roman" w:hAnsi="Times New Roman" w:cs="Times New Roman"/>
          <w:sz w:val="25"/>
          <w:szCs w:val="25"/>
        </w:rPr>
        <w:t xml:space="preserve">– </w:t>
      </w:r>
      <w:hyperlink r:id="rId9" w:history="1">
        <w:r w:rsidRPr="00B555AA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пункт 13</w:t>
        </w:r>
      </w:hyperlink>
      <w:r w:rsidRPr="00B555AA">
        <w:rPr>
          <w:rFonts w:ascii="Times New Roman" w:hAnsi="Times New Roman" w:cs="Times New Roman"/>
          <w:sz w:val="25"/>
          <w:szCs w:val="25"/>
        </w:rPr>
        <w:t xml:space="preserve"> </w:t>
      </w:r>
      <w:r w:rsidRPr="007A31C5">
        <w:rPr>
          <w:rFonts w:ascii="Times New Roman" w:hAnsi="Times New Roman" w:cs="Times New Roman"/>
          <w:sz w:val="25"/>
          <w:szCs w:val="25"/>
        </w:rPr>
        <w:t>Методических рекомендаций дополнен абзацем, конкретизирующим, что юридически значимым является перечень должностей, действующий на 31 декабря 2020 года.</w:t>
      </w:r>
    </w:p>
    <w:p w:rsidR="007A31C5" w:rsidRP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3" w:name="sub_3"/>
      <w:bookmarkEnd w:id="2"/>
      <w:r w:rsidRPr="007A31C5">
        <w:rPr>
          <w:rFonts w:ascii="Times New Roman" w:hAnsi="Times New Roman" w:cs="Times New Roman"/>
          <w:sz w:val="25"/>
          <w:szCs w:val="25"/>
        </w:rPr>
        <w:t>– 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«Интернет» (</w:t>
      </w:r>
      <w:hyperlink r:id="rId10" w:history="1">
        <w:r w:rsidRPr="00B555AA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пункт 15</w:t>
        </w:r>
      </w:hyperlink>
      <w:r w:rsidRPr="007A31C5">
        <w:rPr>
          <w:rFonts w:ascii="Times New Roman" w:hAnsi="Times New Roman" w:cs="Times New Roman"/>
          <w:sz w:val="25"/>
          <w:szCs w:val="25"/>
        </w:rPr>
        <w:t xml:space="preserve"> Методических рекомендаций).</w:t>
      </w:r>
    </w:p>
    <w:p w:rsidR="007A31C5" w:rsidRP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4" w:name="sub_4"/>
      <w:bookmarkEnd w:id="3"/>
      <w:r w:rsidRPr="007A31C5">
        <w:rPr>
          <w:rFonts w:ascii="Times New Roman" w:hAnsi="Times New Roman" w:cs="Times New Roman"/>
          <w:sz w:val="25"/>
          <w:szCs w:val="25"/>
        </w:rPr>
        <w:t xml:space="preserve">– </w:t>
      </w:r>
      <w:hyperlink r:id="rId11" w:history="1">
        <w:r w:rsidRPr="007544E8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Методические рекомендации</w:t>
        </w:r>
      </w:hyperlink>
      <w:r w:rsidRPr="007A31C5">
        <w:rPr>
          <w:rFonts w:ascii="Times New Roman" w:hAnsi="Times New Roman" w:cs="Times New Roman"/>
          <w:sz w:val="25"/>
          <w:szCs w:val="25"/>
        </w:rPr>
        <w:t xml:space="preserve"> обновлены с учетом положений </w:t>
      </w:r>
      <w:hyperlink r:id="rId12" w:history="1">
        <w:r w:rsidRPr="009E741D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Указа</w:t>
        </w:r>
      </w:hyperlink>
      <w:r w:rsidRPr="009E741D">
        <w:rPr>
          <w:rFonts w:ascii="Times New Roman" w:hAnsi="Times New Roman" w:cs="Times New Roman"/>
          <w:sz w:val="25"/>
          <w:szCs w:val="25"/>
        </w:rPr>
        <w:t xml:space="preserve"> </w:t>
      </w:r>
      <w:r w:rsidRPr="007A31C5">
        <w:rPr>
          <w:rFonts w:ascii="Times New Roman" w:hAnsi="Times New Roman" w:cs="Times New Roman"/>
          <w:sz w:val="25"/>
          <w:szCs w:val="25"/>
        </w:rPr>
        <w:t>Президента Российской Федерации от 15 января 2020 г. № 13 «О внесении изменений в некоторые акты Президента Российской Федерации»  (необходимость использования СПО «Справки БК», предоставления СНИЛС).</w:t>
      </w:r>
    </w:p>
    <w:p w:rsidR="007A31C5" w:rsidRP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5" w:name="sub_5"/>
      <w:bookmarkEnd w:id="4"/>
      <w:r w:rsidRPr="007A31C5">
        <w:rPr>
          <w:rFonts w:ascii="Times New Roman" w:hAnsi="Times New Roman" w:cs="Times New Roman"/>
          <w:sz w:val="25"/>
          <w:szCs w:val="25"/>
        </w:rPr>
        <w:t xml:space="preserve">– в </w:t>
      </w:r>
      <w:hyperlink r:id="rId13" w:history="1">
        <w:r w:rsidRPr="007544E8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подпункте 3 пункта 60</w:t>
        </w:r>
      </w:hyperlink>
      <w:r w:rsidRPr="007544E8">
        <w:rPr>
          <w:rFonts w:ascii="Times New Roman" w:hAnsi="Times New Roman" w:cs="Times New Roman"/>
          <w:sz w:val="25"/>
          <w:szCs w:val="25"/>
        </w:rPr>
        <w:t xml:space="preserve"> </w:t>
      </w:r>
      <w:r w:rsidRPr="007A31C5">
        <w:rPr>
          <w:rFonts w:ascii="Times New Roman" w:hAnsi="Times New Roman" w:cs="Times New Roman"/>
          <w:sz w:val="25"/>
          <w:szCs w:val="25"/>
        </w:rPr>
        <w:t>Методических рекомендаций отмечено, 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</w:t>
      </w:r>
    </w:p>
    <w:p w:rsidR="007A31C5" w:rsidRP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6" w:name="sub_6"/>
      <w:bookmarkEnd w:id="5"/>
      <w:r w:rsidRPr="007A31C5">
        <w:rPr>
          <w:rFonts w:ascii="Times New Roman" w:hAnsi="Times New Roman" w:cs="Times New Roman"/>
          <w:sz w:val="25"/>
          <w:szCs w:val="25"/>
        </w:rPr>
        <w:t xml:space="preserve">– </w:t>
      </w:r>
      <w:hyperlink r:id="rId14" w:history="1">
        <w:r w:rsidRPr="007544E8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подпункт 9 пункта 60</w:t>
        </w:r>
      </w:hyperlink>
      <w:r w:rsidRPr="007A31C5">
        <w:rPr>
          <w:rFonts w:ascii="Times New Roman" w:hAnsi="Times New Roman" w:cs="Times New Roman"/>
          <w:sz w:val="25"/>
          <w:szCs w:val="25"/>
        </w:rPr>
        <w:t xml:space="preserve"> Методических рекомендаций дополнен ситуацией продажи имущества, находящегося в долевой собственности.</w:t>
      </w:r>
    </w:p>
    <w:p w:rsidR="007A31C5" w:rsidRP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7" w:name="sub_7"/>
      <w:bookmarkEnd w:id="6"/>
      <w:r w:rsidRPr="007A31C5">
        <w:rPr>
          <w:rFonts w:ascii="Times New Roman" w:hAnsi="Times New Roman" w:cs="Times New Roman"/>
          <w:sz w:val="25"/>
          <w:szCs w:val="25"/>
        </w:rPr>
        <w:t xml:space="preserve">– также Методические рекомендации дополнены </w:t>
      </w:r>
      <w:hyperlink r:id="rId15" w:history="1">
        <w:r w:rsidRPr="00980AC7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пунктами 61</w:t>
        </w:r>
      </w:hyperlink>
      <w:r w:rsidRPr="007A31C5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6" w:history="1">
        <w:r w:rsidRPr="00582211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65</w:t>
        </w:r>
      </w:hyperlink>
      <w:r w:rsidRPr="00582211">
        <w:rPr>
          <w:rFonts w:ascii="Times New Roman" w:hAnsi="Times New Roman" w:cs="Times New Roman"/>
          <w:sz w:val="25"/>
          <w:szCs w:val="25"/>
        </w:rPr>
        <w:t>,</w:t>
      </w:r>
      <w:r w:rsidRPr="007A31C5">
        <w:rPr>
          <w:rFonts w:ascii="Times New Roman" w:hAnsi="Times New Roman" w:cs="Times New Roman"/>
          <w:sz w:val="25"/>
          <w:szCs w:val="25"/>
        </w:rPr>
        <w:t xml:space="preserve"> касающимися мер социальной и иной поддержки, оказанной в связи                                 с распространением новой </w:t>
      </w:r>
      <w:proofErr w:type="spellStart"/>
      <w:r w:rsidRPr="007A31C5">
        <w:rPr>
          <w:rFonts w:ascii="Times New Roman" w:hAnsi="Times New Roman" w:cs="Times New Roman"/>
          <w:sz w:val="25"/>
          <w:szCs w:val="25"/>
        </w:rPr>
        <w:t>коронавирусной</w:t>
      </w:r>
      <w:proofErr w:type="spellEnd"/>
      <w:r w:rsidRPr="007A31C5">
        <w:rPr>
          <w:rFonts w:ascii="Times New Roman" w:hAnsi="Times New Roman" w:cs="Times New Roman"/>
          <w:sz w:val="25"/>
          <w:szCs w:val="25"/>
        </w:rPr>
        <w:t xml:space="preserve"> инфекции.</w:t>
      </w:r>
    </w:p>
    <w:p w:rsidR="007A31C5" w:rsidRP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8" w:name="sub_8"/>
      <w:bookmarkEnd w:id="7"/>
      <w:r w:rsidRPr="007A31C5">
        <w:rPr>
          <w:rFonts w:ascii="Times New Roman" w:hAnsi="Times New Roman" w:cs="Times New Roman"/>
          <w:sz w:val="25"/>
          <w:szCs w:val="25"/>
        </w:rPr>
        <w:t xml:space="preserve">– </w:t>
      </w:r>
      <w:hyperlink r:id="rId17" w:history="1">
        <w:r w:rsidRPr="007544E8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пункты 69</w:t>
        </w:r>
      </w:hyperlink>
      <w:r w:rsidRPr="007A31C5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8" w:history="1">
        <w:r w:rsidRPr="007544E8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72</w:t>
        </w:r>
      </w:hyperlink>
      <w:r w:rsidRPr="007A31C5">
        <w:rPr>
          <w:rFonts w:ascii="Times New Roman" w:hAnsi="Times New Roman" w:cs="Times New Roman"/>
          <w:sz w:val="25"/>
          <w:szCs w:val="25"/>
        </w:rPr>
        <w:t xml:space="preserve"> Методических рекомендаций дополнены ситуациями, при которых сведения о расходах не отражаются.</w:t>
      </w:r>
    </w:p>
    <w:p w:rsidR="007A31C5" w:rsidRP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9" w:name="sub_9"/>
      <w:bookmarkEnd w:id="8"/>
      <w:r w:rsidRPr="007A31C5">
        <w:rPr>
          <w:rFonts w:ascii="Times New Roman" w:hAnsi="Times New Roman" w:cs="Times New Roman"/>
          <w:sz w:val="25"/>
          <w:szCs w:val="25"/>
        </w:rPr>
        <w:t xml:space="preserve">– в </w:t>
      </w:r>
      <w:hyperlink r:id="rId19" w:history="1">
        <w:r w:rsidRPr="007544E8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пункте 119</w:t>
        </w:r>
      </w:hyperlink>
      <w:r w:rsidRPr="007A31C5">
        <w:rPr>
          <w:rFonts w:ascii="Times New Roman" w:hAnsi="Times New Roman" w:cs="Times New Roman"/>
          <w:sz w:val="25"/>
          <w:szCs w:val="25"/>
        </w:rPr>
        <w:t xml:space="preserve"> Методических рекомендациях указано, что Банком России издано Указание от 15 апреля 2020 г. №  5440-У. </w:t>
      </w:r>
    </w:p>
    <w:p w:rsidR="007A31C5" w:rsidRP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7A31C5">
        <w:rPr>
          <w:rFonts w:ascii="Times New Roman" w:hAnsi="Times New Roman" w:cs="Times New Roman"/>
          <w:sz w:val="25"/>
          <w:szCs w:val="25"/>
        </w:rPr>
        <w:t>Заместитель председателя Комиссии Самойлович А.Ю. полагает целесообразным ориентировать на получение информации для целей представления сведений в соответствии с данным Указанием Банка России.</w:t>
      </w:r>
    </w:p>
    <w:p w:rsidR="007A31C5" w:rsidRDefault="007A31C5" w:rsidP="007A31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bookmarkStart w:id="10" w:name="sub_10"/>
      <w:bookmarkEnd w:id="9"/>
      <w:r w:rsidRPr="007A31C5">
        <w:rPr>
          <w:rFonts w:ascii="Times New Roman" w:hAnsi="Times New Roman" w:cs="Times New Roman"/>
          <w:sz w:val="25"/>
          <w:szCs w:val="25"/>
        </w:rPr>
        <w:t xml:space="preserve">– Методические рекомендации дополнены </w:t>
      </w:r>
      <w:hyperlink r:id="rId20" w:history="1">
        <w:r w:rsidRPr="00CE5C2E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разделом</w:t>
        </w:r>
      </w:hyperlink>
      <w:r w:rsidRPr="007A31C5">
        <w:rPr>
          <w:rFonts w:ascii="Times New Roman" w:hAnsi="Times New Roman" w:cs="Times New Roman"/>
          <w:sz w:val="25"/>
          <w:szCs w:val="25"/>
        </w:rPr>
        <w:t xml:space="preserve"> «Представление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 года», раскрывающим содержание положений </w:t>
      </w:r>
      <w:hyperlink r:id="rId21" w:history="1">
        <w:r w:rsidRPr="00CE5C2E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Указа</w:t>
        </w:r>
      </w:hyperlink>
      <w:r w:rsidRPr="00CE5C2E">
        <w:rPr>
          <w:rFonts w:ascii="Times New Roman" w:hAnsi="Times New Roman" w:cs="Times New Roman"/>
          <w:sz w:val="25"/>
          <w:szCs w:val="25"/>
        </w:rPr>
        <w:t xml:space="preserve"> </w:t>
      </w:r>
      <w:r w:rsidRPr="007A31C5">
        <w:rPr>
          <w:rFonts w:ascii="Times New Roman" w:hAnsi="Times New Roman" w:cs="Times New Roman"/>
          <w:sz w:val="25"/>
          <w:szCs w:val="25"/>
        </w:rPr>
        <w:t xml:space="preserve">Президента Российской Федерации от 10 декабря 2020 г. № 778 "О мерах по реализации отдельных положений Федерального закона </w:t>
      </w:r>
      <w:r w:rsidR="00CE5C2E"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7A31C5">
        <w:rPr>
          <w:rFonts w:ascii="Times New Roman" w:hAnsi="Times New Roman" w:cs="Times New Roman"/>
          <w:sz w:val="25"/>
          <w:szCs w:val="25"/>
        </w:rPr>
        <w:t xml:space="preserve">«О цифровых финансовых активах, цифровой валюте и о внесении изменений </w:t>
      </w:r>
      <w:r w:rsidR="00582211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7A31C5">
        <w:rPr>
          <w:rFonts w:ascii="Times New Roman" w:hAnsi="Times New Roman" w:cs="Times New Roman"/>
          <w:sz w:val="25"/>
          <w:szCs w:val="25"/>
        </w:rPr>
        <w:t>в отдельные законодательные акты Российской Федерации».</w:t>
      </w:r>
    </w:p>
    <w:p w:rsidR="00E27D6D" w:rsidRPr="00127F01" w:rsidRDefault="001155C5" w:rsidP="00127F0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B22B4">
        <w:rPr>
          <w:rFonts w:ascii="Times New Roman" w:hAnsi="Times New Roman" w:cs="Times New Roman"/>
          <w:sz w:val="25"/>
          <w:szCs w:val="25"/>
        </w:rPr>
        <w:t>Рассмотрев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A4E6B" w:rsidRPr="0033119D">
        <w:rPr>
          <w:rFonts w:ascii="Times New Roman" w:hAnsi="Times New Roman" w:cs="Times New Roman"/>
          <w:sz w:val="25"/>
          <w:szCs w:val="25"/>
        </w:rPr>
        <w:t xml:space="preserve">Положения новых </w:t>
      </w:r>
      <w:hyperlink r:id="rId22" w:history="1">
        <w:r w:rsidR="009A4E6B" w:rsidRPr="0033119D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Методических рекомендаций</w:t>
        </w:r>
      </w:hyperlink>
      <w:r w:rsidR="009A4E6B" w:rsidRPr="009A4E6B">
        <w:rPr>
          <w:rFonts w:ascii="Times New Roman" w:hAnsi="Times New Roman" w:cs="Times New Roman"/>
          <w:sz w:val="25"/>
          <w:szCs w:val="25"/>
        </w:rPr>
        <w:t xml:space="preserve"> </w:t>
      </w:r>
      <w:r w:rsidR="000047EC">
        <w:rPr>
          <w:rFonts w:ascii="Times New Roman" w:hAnsi="Times New Roman" w:cs="Times New Roman"/>
          <w:sz w:val="25"/>
          <w:szCs w:val="25"/>
        </w:rPr>
        <w:t>К</w:t>
      </w:r>
      <w:r w:rsidR="009A4E6B" w:rsidRPr="00FB22B4">
        <w:rPr>
          <w:rFonts w:ascii="Times New Roman" w:hAnsi="Times New Roman" w:cs="Times New Roman"/>
          <w:sz w:val="25"/>
          <w:szCs w:val="25"/>
        </w:rPr>
        <w:t>омиссия</w:t>
      </w:r>
      <w:r w:rsidR="00A340BC">
        <w:rPr>
          <w:rFonts w:ascii="Times New Roman" w:hAnsi="Times New Roman" w:cs="Times New Roman"/>
          <w:sz w:val="25"/>
          <w:szCs w:val="25"/>
        </w:rPr>
        <w:t xml:space="preserve"> приняла решение</w:t>
      </w:r>
      <w:r w:rsidR="001A1A2A">
        <w:rPr>
          <w:rFonts w:ascii="Times New Roman" w:hAnsi="Times New Roman" w:cs="Times New Roman"/>
          <w:sz w:val="25"/>
          <w:szCs w:val="25"/>
        </w:rPr>
        <w:t xml:space="preserve"> дать поручение р</w:t>
      </w:r>
      <w:r w:rsidR="00E27D6D" w:rsidRPr="00127F01">
        <w:rPr>
          <w:rFonts w:ascii="Times New Roman" w:hAnsi="Times New Roman" w:cs="Times New Roman"/>
          <w:sz w:val="25"/>
          <w:szCs w:val="25"/>
        </w:rPr>
        <w:t>уководителям Управлений  Департамента природных ресурсов и экологии Чукотского автономного округа, подведомственных Департаменту государственных учреждений:</w:t>
      </w:r>
    </w:p>
    <w:p w:rsidR="00E27D6D" w:rsidRPr="00127F01" w:rsidRDefault="00E27D6D" w:rsidP="00127F01">
      <w:pPr>
        <w:numPr>
          <w:ilvl w:val="1"/>
          <w:numId w:val="1"/>
        </w:numPr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27F01">
        <w:rPr>
          <w:rFonts w:ascii="Times New Roman" w:hAnsi="Times New Roman" w:cs="Times New Roman"/>
          <w:sz w:val="25"/>
          <w:szCs w:val="25"/>
        </w:rPr>
        <w:lastRenderedPageBreak/>
        <w:t xml:space="preserve">организовать в структурных подразделениях Департамента изучение Методических рекомендаций лицами, замещающими должности, осуществление полномочий по которым влечёт за собой обязанность представлять Справки БК.       </w:t>
      </w:r>
    </w:p>
    <w:p w:rsidR="00E27D6D" w:rsidRPr="00127F01" w:rsidRDefault="00E27D6D" w:rsidP="00127F0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27F01">
        <w:rPr>
          <w:rFonts w:ascii="Times New Roman" w:hAnsi="Times New Roman" w:cs="Times New Roman"/>
          <w:sz w:val="25"/>
          <w:szCs w:val="25"/>
        </w:rPr>
        <w:t>О результатах проведённой разъяснительной  работы в срок до 01.03.2021 доложить заместителю председателя Комиссии,  начальнику Отдела административно-правовой и кадровой работы Департамента Самойлович А.Ю.;</w:t>
      </w:r>
    </w:p>
    <w:p w:rsidR="00E27D6D" w:rsidRPr="00127F01" w:rsidRDefault="00E27D6D" w:rsidP="00127F01">
      <w:pPr>
        <w:numPr>
          <w:ilvl w:val="1"/>
          <w:numId w:val="1"/>
        </w:numPr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27F01">
        <w:rPr>
          <w:rFonts w:ascii="Times New Roman" w:hAnsi="Times New Roman" w:cs="Times New Roman"/>
          <w:sz w:val="25"/>
          <w:szCs w:val="25"/>
        </w:rPr>
        <w:t xml:space="preserve">обеспечить в срок до 01.04.2020 неукоснительное соблюдение требований законодательства в части ежегодного представления сведений                      о доходах, расходах, об имуществе и обязательствах имущественного характера государственными гражданскими служащими Департамента, руководителями подведомственных Департаменту государственных учреждений. </w:t>
      </w:r>
    </w:p>
    <w:bookmarkEnd w:id="10"/>
    <w:p w:rsidR="00004E6C" w:rsidRPr="00D65FFA" w:rsidRDefault="00004E6C" w:rsidP="00491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B0D53" w:rsidRDefault="003B0D53" w:rsidP="008C0A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593F49">
        <w:rPr>
          <w:rFonts w:ascii="Times New Roman" w:hAnsi="Times New Roman" w:cs="Times New Roman"/>
          <w:i/>
          <w:sz w:val="25"/>
          <w:szCs w:val="25"/>
        </w:rPr>
        <w:t xml:space="preserve">2) О необходимости предоставления лицами, замещающими должности государственной гражданской службы Департамента природных ресурсов                           и экологии Чукотского автономного округа, руководителями подведомственных Департаменту учреждений Сведений об адресах сайтов и (или) страниц сайтов            в информационно-телекоммуникационной сети  «Интернет» (далее – Сведений). Обзор Методических рекомендаций по заполнению </w:t>
      </w:r>
      <w:r w:rsidRPr="00593F49">
        <w:rPr>
          <w:rFonts w:ascii="Times New Roman" w:hAnsi="Times New Roman" w:cs="Times New Roman"/>
          <w:i/>
          <w:color w:val="000000"/>
          <w:sz w:val="25"/>
          <w:szCs w:val="25"/>
        </w:rPr>
        <w:t>формы представления Сведений.</w:t>
      </w:r>
    </w:p>
    <w:p w:rsidR="008C0A7F" w:rsidRPr="00E206D7" w:rsidRDefault="008C0A7F" w:rsidP="00E2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206D7" w:rsidRPr="00E206D7" w:rsidRDefault="00E206D7" w:rsidP="00E2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A4A03">
        <w:rPr>
          <w:rFonts w:ascii="Times New Roman" w:hAnsi="Times New Roman" w:cs="Times New Roman"/>
          <w:sz w:val="25"/>
          <w:szCs w:val="25"/>
        </w:rPr>
        <w:t xml:space="preserve">Докладчиком выступила </w:t>
      </w:r>
      <w:r w:rsidRPr="00E206D7">
        <w:rPr>
          <w:rFonts w:ascii="Times New Roman" w:hAnsi="Times New Roman" w:cs="Times New Roman"/>
          <w:sz w:val="25"/>
          <w:szCs w:val="25"/>
        </w:rPr>
        <w:t xml:space="preserve">Свиридова Т.В., советник Отдела административно-правовой и кадровой работы Департамента природных ресурсов и экологии Чукотского автономного округа, которая напомнила членам Комиссии о ежегодной обязанности лиц, замещающих должности государственной гражданской службы Департамента, руководителей подведомственных государственных учреждений, </w:t>
      </w:r>
      <w:r w:rsidR="00FE1F99"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E206D7">
        <w:rPr>
          <w:rFonts w:ascii="Times New Roman" w:hAnsi="Times New Roman" w:cs="Times New Roman"/>
          <w:sz w:val="25"/>
          <w:szCs w:val="25"/>
        </w:rPr>
        <w:t xml:space="preserve">в срок до 31.03.202020 года предоставить в Отдел административно-правовой </w:t>
      </w:r>
      <w:r w:rsidR="00FE1F99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E206D7">
        <w:rPr>
          <w:rFonts w:ascii="Times New Roman" w:hAnsi="Times New Roman" w:cs="Times New Roman"/>
          <w:sz w:val="25"/>
          <w:szCs w:val="25"/>
        </w:rPr>
        <w:t xml:space="preserve">и кадровой работы Департамента Сведения об адресах сайтов и (или) страниц сайтов </w:t>
      </w:r>
      <w:r w:rsidR="00FE1F99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E206D7">
        <w:rPr>
          <w:rFonts w:ascii="Times New Roman" w:hAnsi="Times New Roman" w:cs="Times New Roman"/>
          <w:sz w:val="25"/>
          <w:szCs w:val="25"/>
        </w:rPr>
        <w:t>в информаци</w:t>
      </w:r>
      <w:r w:rsidR="00FE1F99">
        <w:rPr>
          <w:rFonts w:ascii="Times New Roman" w:hAnsi="Times New Roman" w:cs="Times New Roman"/>
          <w:sz w:val="25"/>
          <w:szCs w:val="25"/>
        </w:rPr>
        <w:t>онно-телекоммуникационной сети «</w:t>
      </w:r>
      <w:r w:rsidRPr="00E206D7">
        <w:rPr>
          <w:rFonts w:ascii="Times New Roman" w:hAnsi="Times New Roman" w:cs="Times New Roman"/>
          <w:sz w:val="25"/>
          <w:szCs w:val="25"/>
        </w:rPr>
        <w:t>Интернет</w:t>
      </w:r>
      <w:r w:rsidR="00FE1F99">
        <w:rPr>
          <w:rFonts w:ascii="Times New Roman" w:hAnsi="Times New Roman" w:cs="Times New Roman"/>
          <w:sz w:val="25"/>
          <w:szCs w:val="25"/>
        </w:rPr>
        <w:t>»</w:t>
      </w:r>
      <w:r w:rsidRPr="00E206D7">
        <w:rPr>
          <w:rFonts w:ascii="Times New Roman" w:hAnsi="Times New Roman" w:cs="Times New Roman"/>
          <w:sz w:val="25"/>
          <w:szCs w:val="25"/>
        </w:rPr>
        <w:t xml:space="preserve"> на которых они в 2020 году размещали общедоступную информацию, а также данные, позволяющие </w:t>
      </w:r>
      <w:r w:rsidR="00DD069D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E206D7">
        <w:rPr>
          <w:rFonts w:ascii="Times New Roman" w:hAnsi="Times New Roman" w:cs="Times New Roman"/>
          <w:sz w:val="25"/>
          <w:szCs w:val="25"/>
        </w:rPr>
        <w:t>их идентифицировать.</w:t>
      </w:r>
    </w:p>
    <w:p w:rsidR="00E3090F" w:rsidRPr="00E3090F" w:rsidRDefault="00F323F4" w:rsidP="00F323F4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Заслушав инф</w:t>
      </w:r>
      <w:r w:rsidR="00B0349A">
        <w:rPr>
          <w:rFonts w:ascii="Times New Roman" w:hAnsi="Times New Roman" w:cs="Times New Roman"/>
          <w:sz w:val="25"/>
          <w:szCs w:val="25"/>
        </w:rPr>
        <w:t>ормацию</w:t>
      </w:r>
      <w:r w:rsidRPr="00FB22B4">
        <w:rPr>
          <w:rFonts w:ascii="Times New Roman" w:hAnsi="Times New Roman" w:cs="Times New Roman"/>
          <w:sz w:val="25"/>
          <w:szCs w:val="25"/>
        </w:rPr>
        <w:t xml:space="preserve">, </w:t>
      </w:r>
      <w:r w:rsidR="007E5F97">
        <w:rPr>
          <w:rFonts w:ascii="Times New Roman" w:hAnsi="Times New Roman" w:cs="Times New Roman"/>
          <w:sz w:val="25"/>
          <w:szCs w:val="25"/>
        </w:rPr>
        <w:t>К</w:t>
      </w:r>
      <w:r w:rsidRPr="00FB22B4">
        <w:rPr>
          <w:rFonts w:ascii="Times New Roman" w:hAnsi="Times New Roman" w:cs="Times New Roman"/>
          <w:sz w:val="25"/>
          <w:szCs w:val="25"/>
        </w:rPr>
        <w:t xml:space="preserve">омиссия </w:t>
      </w:r>
      <w:r w:rsidR="00B0349A">
        <w:rPr>
          <w:rFonts w:ascii="Times New Roman" w:hAnsi="Times New Roman" w:cs="Times New Roman"/>
          <w:sz w:val="25"/>
          <w:szCs w:val="25"/>
        </w:rPr>
        <w:t xml:space="preserve">решила обязать соответствующих должностных лиц </w:t>
      </w:r>
      <w:r w:rsidR="00E3090F" w:rsidRPr="00E3090F">
        <w:rPr>
          <w:rFonts w:ascii="Times New Roman" w:hAnsi="Times New Roman" w:cs="Times New Roman"/>
          <w:sz w:val="25"/>
          <w:szCs w:val="25"/>
        </w:rPr>
        <w:t xml:space="preserve">обеспечить в срок </w:t>
      </w:r>
      <w:r w:rsidR="00D65FFA">
        <w:rPr>
          <w:rFonts w:ascii="Times New Roman" w:hAnsi="Times New Roman" w:cs="Times New Roman"/>
          <w:sz w:val="25"/>
          <w:szCs w:val="25"/>
        </w:rPr>
        <w:t xml:space="preserve">до </w:t>
      </w:r>
      <w:r w:rsidR="00E3090F" w:rsidRPr="00E3090F">
        <w:rPr>
          <w:rFonts w:ascii="Times New Roman" w:hAnsi="Times New Roman" w:cs="Times New Roman"/>
          <w:sz w:val="25"/>
          <w:szCs w:val="25"/>
        </w:rPr>
        <w:t xml:space="preserve">01.04.2021 неукоснительное соблюдение требований законодательства в части ежегодного представления в Отдел административно-правовой и кадровой работы Департамента сведений </w:t>
      </w:r>
      <w:r w:rsidR="00E3090F" w:rsidRPr="00E3090F">
        <w:rPr>
          <w:rFonts w:ascii="Times New Roman" w:hAnsi="Times New Roman" w:cs="Times New Roman"/>
          <w:color w:val="000000"/>
          <w:sz w:val="25"/>
          <w:szCs w:val="25"/>
        </w:rPr>
        <w:t xml:space="preserve">об адресах сайтов и (или) страниц сайтов в информационно-телекоммуникационной сети «Интернет» </w:t>
      </w:r>
      <w:r w:rsidR="00E3090F" w:rsidRPr="00E3090F">
        <w:rPr>
          <w:rFonts w:ascii="Times New Roman" w:hAnsi="Times New Roman" w:cs="Times New Roman"/>
          <w:sz w:val="25"/>
          <w:szCs w:val="25"/>
        </w:rPr>
        <w:t>на которых государственными гражданскими служащими Департамента</w:t>
      </w:r>
      <w:r w:rsidR="00D65FFA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E3090F" w:rsidRPr="00E3090F">
        <w:rPr>
          <w:rFonts w:ascii="Times New Roman" w:hAnsi="Times New Roman" w:cs="Times New Roman"/>
          <w:sz w:val="25"/>
          <w:szCs w:val="25"/>
        </w:rPr>
        <w:t xml:space="preserve"> в 2020 году размещалась общедоступная информация, а также данные, позволяющие их идентифицировать.</w:t>
      </w:r>
    </w:p>
    <w:p w:rsidR="008C0A7F" w:rsidRPr="008C0A7F" w:rsidRDefault="008C0A7F" w:rsidP="008C0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B0D53" w:rsidRDefault="003B0D53" w:rsidP="009F3B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9B4FD1">
        <w:rPr>
          <w:rFonts w:ascii="Times New Roman" w:hAnsi="Times New Roman" w:cs="Times New Roman"/>
          <w:i/>
          <w:sz w:val="25"/>
          <w:szCs w:val="25"/>
        </w:rPr>
        <w:t>3) Обзор Указа Президента Российской Федерации от 10.12.2020 № 778           «О мерах по реализации отдельных положений Федерального закона                           «О цифровых финансовых активах, цифровой валюте и внесении изменений</w:t>
      </w:r>
      <w:r w:rsidR="0025729C">
        <w:rPr>
          <w:rFonts w:ascii="Times New Roman" w:hAnsi="Times New Roman" w:cs="Times New Roman"/>
          <w:i/>
          <w:sz w:val="25"/>
          <w:szCs w:val="25"/>
        </w:rPr>
        <w:t xml:space="preserve">                          </w:t>
      </w:r>
      <w:r w:rsidRPr="009B4FD1">
        <w:rPr>
          <w:rFonts w:ascii="Times New Roman" w:hAnsi="Times New Roman" w:cs="Times New Roman"/>
          <w:i/>
          <w:sz w:val="25"/>
          <w:szCs w:val="25"/>
        </w:rPr>
        <w:t>в отдельные законодательные акты Российской Федерации» и Информационного письма Минтруда России от 16.12.2020 № 18-2/10/В-12085 «О возможности приобретения цифровых активов и цифровой валюты и владения ими отдельными категориями лиц».</w:t>
      </w:r>
    </w:p>
    <w:p w:rsidR="009F3B6A" w:rsidRPr="009F3B6A" w:rsidRDefault="009F3B6A" w:rsidP="009F3B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F755E2" w:rsidRPr="00F954C5" w:rsidRDefault="00F755E2" w:rsidP="009E741D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A4A03">
        <w:rPr>
          <w:rFonts w:ascii="Times New Roman" w:hAnsi="Times New Roman" w:cs="Times New Roman"/>
          <w:sz w:val="25"/>
          <w:szCs w:val="25"/>
        </w:rPr>
        <w:t xml:space="preserve">Докладчиком выступила </w:t>
      </w:r>
      <w:r w:rsidRPr="00F954C5">
        <w:rPr>
          <w:rFonts w:ascii="Times New Roman" w:hAnsi="Times New Roman" w:cs="Times New Roman"/>
          <w:sz w:val="25"/>
          <w:szCs w:val="25"/>
        </w:rPr>
        <w:t>начальник Отдела административно-правовой                      и кадровой работы</w:t>
      </w:r>
      <w:r>
        <w:rPr>
          <w:rFonts w:ascii="Times New Roman" w:hAnsi="Times New Roman" w:cs="Times New Roman"/>
          <w:sz w:val="25"/>
          <w:szCs w:val="25"/>
        </w:rPr>
        <w:t xml:space="preserve"> Самойлович А.Ю.</w:t>
      </w:r>
      <w:r w:rsidRPr="00F954C5">
        <w:rPr>
          <w:rFonts w:ascii="Times New Roman" w:hAnsi="Times New Roman" w:cs="Times New Roman"/>
          <w:sz w:val="25"/>
          <w:szCs w:val="25"/>
        </w:rPr>
        <w:t xml:space="preserve">, которая информировала членов Комиссии, независимых экспертов, что </w:t>
      </w:r>
      <w:hyperlink r:id="rId23" w:history="1">
        <w:r w:rsidRPr="00DD32B5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Указом</w:t>
        </w:r>
      </w:hyperlink>
      <w:r w:rsidRPr="00F954C5">
        <w:rPr>
          <w:rFonts w:ascii="Times New Roman" w:hAnsi="Times New Roman" w:cs="Times New Roman"/>
          <w:sz w:val="25"/>
          <w:szCs w:val="25"/>
        </w:rPr>
        <w:t xml:space="preserve"> Президента Российской Федерации от 10 декабря 2020 г. №  778 «О мерах по реализации отдельных положений Федерального закона             «О цифровых финансовых активах, цифровой валюте и о внесении изменений </w:t>
      </w:r>
      <w:r w:rsidR="0025729C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F954C5">
        <w:rPr>
          <w:rFonts w:ascii="Times New Roman" w:hAnsi="Times New Roman" w:cs="Times New Roman"/>
          <w:sz w:val="25"/>
          <w:szCs w:val="25"/>
        </w:rPr>
        <w:lastRenderedPageBreak/>
        <w:t xml:space="preserve">в отдельные законодательные акты Российской Федерации» установлено, что </w:t>
      </w:r>
      <w:r w:rsidR="00DD32B5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F954C5">
        <w:rPr>
          <w:rFonts w:ascii="Times New Roman" w:hAnsi="Times New Roman" w:cs="Times New Roman"/>
          <w:sz w:val="25"/>
          <w:szCs w:val="25"/>
        </w:rPr>
        <w:t xml:space="preserve">в I полугодии 2021 г. (с 1 января по 30 июня 2021 г. включительно) вместе                      со сведениями, представляемыми по форме справки, претенденты на должности государственной гражданской службы подают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</w:t>
      </w:r>
      <w:r w:rsidR="00DD32B5">
        <w:rPr>
          <w:rFonts w:ascii="Times New Roman" w:hAnsi="Times New Roman" w:cs="Times New Roman"/>
          <w:sz w:val="25"/>
          <w:szCs w:val="25"/>
        </w:rPr>
        <w:t xml:space="preserve">и </w:t>
      </w:r>
      <w:r w:rsidRPr="00F954C5">
        <w:rPr>
          <w:rFonts w:ascii="Times New Roman" w:hAnsi="Times New Roman" w:cs="Times New Roman"/>
          <w:sz w:val="25"/>
          <w:szCs w:val="25"/>
        </w:rPr>
        <w:t xml:space="preserve"> иные цифровые права, утилитарных цифровых правах и цифровой валюте. </w:t>
      </w:r>
    </w:p>
    <w:p w:rsidR="00F755E2" w:rsidRPr="00F954C5" w:rsidRDefault="00F755E2" w:rsidP="009E741D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954C5">
        <w:rPr>
          <w:rFonts w:ascii="Times New Roman" w:hAnsi="Times New Roman" w:cs="Times New Roman"/>
          <w:sz w:val="25"/>
          <w:szCs w:val="25"/>
        </w:rPr>
        <w:t xml:space="preserve">Приведена соответствующая форма. Также уведомление должны будут подавать претенденты на государственные должности, по которым законодательством не установлены иные порядок и формы представления соответствующих сведений. </w:t>
      </w:r>
    </w:p>
    <w:p w:rsidR="00F755E2" w:rsidRPr="00F954C5" w:rsidRDefault="00F755E2" w:rsidP="009E741D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954C5">
        <w:rPr>
          <w:rFonts w:ascii="Times New Roman" w:hAnsi="Times New Roman" w:cs="Times New Roman"/>
          <w:sz w:val="25"/>
          <w:szCs w:val="25"/>
        </w:rPr>
        <w:t>Кроме того, отчитываться будут чиновники, должности которых                          не включены в перечень, предусматривающий подачу сведений о доходах                        и имуществе.</w:t>
      </w:r>
    </w:p>
    <w:p w:rsidR="00B71E8D" w:rsidRPr="00027380" w:rsidRDefault="00B71E8D" w:rsidP="009E7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7380">
        <w:rPr>
          <w:rFonts w:ascii="Times New Roman" w:hAnsi="Times New Roman" w:cs="Times New Roman"/>
          <w:sz w:val="25"/>
          <w:szCs w:val="25"/>
        </w:rPr>
        <w:t>Самойлович А.Ю. пояснила членам Комиссии, независимым экспертам, что</w:t>
      </w:r>
      <w:r w:rsidR="00027380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027380">
        <w:rPr>
          <w:rFonts w:ascii="Times New Roman" w:hAnsi="Times New Roman" w:cs="Times New Roman"/>
          <w:sz w:val="25"/>
          <w:szCs w:val="25"/>
        </w:rPr>
        <w:t xml:space="preserve"> в связи с принятием </w:t>
      </w:r>
      <w:hyperlink r:id="rId24" w:history="1">
        <w:r w:rsidRPr="00027380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Федерального закона</w:t>
        </w:r>
      </w:hyperlink>
      <w:r w:rsidRPr="00027380">
        <w:rPr>
          <w:rFonts w:ascii="Times New Roman" w:hAnsi="Times New Roman" w:cs="Times New Roman"/>
          <w:sz w:val="25"/>
          <w:szCs w:val="25"/>
        </w:rPr>
        <w:t xml:space="preserve"> от 31 июля 2020 г. № 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закон  № 259-ФЗ) в Российской Федерации устанавливается нормативное правовое регулирование вопросов, связанных с цифровыми финансовыми активами</w:t>
      </w:r>
      <w:r w:rsidRPr="00027380">
        <w:rPr>
          <w:rFonts w:ascii="Times New Roman" w:hAnsi="Times New Roman" w:cs="Times New Roman"/>
          <w:sz w:val="25"/>
          <w:szCs w:val="25"/>
          <w:vertAlign w:val="superscript"/>
        </w:rPr>
        <w:t> </w:t>
      </w:r>
      <w:r w:rsidRPr="00027380">
        <w:rPr>
          <w:rFonts w:ascii="Times New Roman" w:hAnsi="Times New Roman" w:cs="Times New Roman"/>
          <w:sz w:val="25"/>
          <w:szCs w:val="25"/>
        </w:rPr>
        <w:t xml:space="preserve">и цифровой валютой. Указанное регулирование затрагивает, в частности, вопросы противодействия коррупции. </w:t>
      </w:r>
    </w:p>
    <w:p w:rsidR="00B71E8D" w:rsidRPr="00027380" w:rsidRDefault="00B71E8D" w:rsidP="000E1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27380">
        <w:rPr>
          <w:rFonts w:ascii="Times New Roman" w:hAnsi="Times New Roman" w:cs="Times New Roman"/>
          <w:sz w:val="25"/>
          <w:szCs w:val="25"/>
        </w:rPr>
        <w:t>При отнесении тех или иных активов к цифровым финансовым активам                и цифровой валюте необходимо исходить из того, что действие Федерального закона № 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</w:t>
      </w:r>
      <w:hyperlink r:id="rId25" w:history="1">
        <w:r w:rsidRPr="00027380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часть 11 статьи 1</w:t>
        </w:r>
      </w:hyperlink>
      <w:r w:rsidRPr="00027380">
        <w:rPr>
          <w:rFonts w:ascii="Times New Roman" w:hAnsi="Times New Roman" w:cs="Times New Roman"/>
          <w:sz w:val="25"/>
          <w:szCs w:val="25"/>
        </w:rPr>
        <w:t xml:space="preserve"> Федерального закона                    № 259-ФЗ).</w:t>
      </w:r>
    </w:p>
    <w:p w:rsidR="00FD0304" w:rsidRPr="00FD0304" w:rsidRDefault="00840E93" w:rsidP="000E131F">
      <w:pPr>
        <w:tabs>
          <w:tab w:val="center" w:pos="0"/>
        </w:tabs>
        <w:spacing w:after="0" w:line="240" w:lineRule="auto"/>
        <w:ind w:firstLine="709"/>
        <w:jc w:val="both"/>
        <w:rPr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</w:rPr>
        <w:t xml:space="preserve">Заслушав </w:t>
      </w:r>
      <w:r w:rsidR="0025729C">
        <w:rPr>
          <w:rFonts w:ascii="Times New Roman" w:hAnsi="Times New Roman" w:cs="Times New Roman"/>
          <w:sz w:val="25"/>
          <w:szCs w:val="25"/>
        </w:rPr>
        <w:t>доклад Самойлович А.Ю.</w:t>
      </w:r>
      <w:r w:rsidR="0025729C" w:rsidRPr="00FB22B4">
        <w:rPr>
          <w:rFonts w:ascii="Times New Roman" w:hAnsi="Times New Roman" w:cs="Times New Roman"/>
          <w:sz w:val="25"/>
          <w:szCs w:val="25"/>
        </w:rPr>
        <w:t xml:space="preserve">, </w:t>
      </w:r>
      <w:r w:rsidR="0025729C">
        <w:rPr>
          <w:rFonts w:ascii="Times New Roman" w:hAnsi="Times New Roman" w:cs="Times New Roman"/>
          <w:sz w:val="25"/>
          <w:szCs w:val="25"/>
        </w:rPr>
        <w:t>К</w:t>
      </w:r>
      <w:r w:rsidR="0025729C" w:rsidRPr="00FB22B4">
        <w:rPr>
          <w:rFonts w:ascii="Times New Roman" w:hAnsi="Times New Roman" w:cs="Times New Roman"/>
          <w:sz w:val="25"/>
          <w:szCs w:val="25"/>
        </w:rPr>
        <w:t xml:space="preserve">омиссия </w:t>
      </w:r>
      <w:r w:rsidR="0025729C">
        <w:rPr>
          <w:rFonts w:ascii="Times New Roman" w:hAnsi="Times New Roman" w:cs="Times New Roman"/>
          <w:sz w:val="25"/>
          <w:szCs w:val="25"/>
        </w:rPr>
        <w:t xml:space="preserve"> решила обязать соответствующих должностных лиц </w:t>
      </w:r>
      <w:r w:rsidR="0025729C" w:rsidRPr="00E3090F">
        <w:rPr>
          <w:rFonts w:ascii="Times New Roman" w:hAnsi="Times New Roman" w:cs="Times New Roman"/>
          <w:sz w:val="25"/>
          <w:szCs w:val="25"/>
        </w:rPr>
        <w:t xml:space="preserve">обеспечить </w:t>
      </w:r>
      <w:r w:rsidR="009F3B6A" w:rsidRPr="009F3B6A">
        <w:rPr>
          <w:rFonts w:ascii="Times New Roman" w:hAnsi="Times New Roman" w:cs="Times New Roman"/>
          <w:sz w:val="25"/>
          <w:szCs w:val="25"/>
        </w:rPr>
        <w:t xml:space="preserve">организовать в структурных подразделениях Департамента изучение </w:t>
      </w:r>
      <w:hyperlink r:id="rId26" w:history="1">
        <w:r w:rsidR="009F3B6A" w:rsidRPr="00840E93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Указ</w:t>
        </w:r>
      </w:hyperlink>
      <w:r w:rsidR="009F3B6A" w:rsidRPr="00840E93">
        <w:rPr>
          <w:rFonts w:ascii="Times New Roman" w:hAnsi="Times New Roman" w:cs="Times New Roman"/>
          <w:sz w:val="25"/>
          <w:szCs w:val="25"/>
        </w:rPr>
        <w:t>а</w:t>
      </w:r>
      <w:r w:rsidR="009F3B6A" w:rsidRPr="009F3B6A">
        <w:rPr>
          <w:rFonts w:ascii="Times New Roman" w:hAnsi="Times New Roman" w:cs="Times New Roman"/>
          <w:sz w:val="25"/>
          <w:szCs w:val="25"/>
        </w:rPr>
        <w:t xml:space="preserve"> Президента Российской Федерации </w:t>
      </w: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F3B6A" w:rsidRPr="009F3B6A">
        <w:rPr>
          <w:rFonts w:ascii="Times New Roman" w:hAnsi="Times New Roman" w:cs="Times New Roman"/>
          <w:sz w:val="25"/>
          <w:szCs w:val="25"/>
        </w:rPr>
        <w:t xml:space="preserve">от 10 декабря 2020 г. №  778 «О мерах по реализации отдельных положений Федерального закона «О цифровых финансовых активах, цифровой валюте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="009F3B6A" w:rsidRPr="009F3B6A">
        <w:rPr>
          <w:rFonts w:ascii="Times New Roman" w:hAnsi="Times New Roman" w:cs="Times New Roman"/>
          <w:sz w:val="25"/>
          <w:szCs w:val="25"/>
        </w:rPr>
        <w:t xml:space="preserve">и о внесении изменений в отдельные законодательные акты Российской Федерации» и положений </w:t>
      </w:r>
      <w:hyperlink w:anchor="sub_1000" w:history="1">
        <w:r w:rsidR="009F3B6A" w:rsidRPr="00840E93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Информационного письм</w:t>
        </w:r>
      </w:hyperlink>
      <w:r w:rsidR="009F3B6A" w:rsidRPr="00840E93">
        <w:rPr>
          <w:rFonts w:ascii="Times New Roman" w:hAnsi="Times New Roman" w:cs="Times New Roman"/>
          <w:sz w:val="25"/>
          <w:szCs w:val="25"/>
        </w:rPr>
        <w:t xml:space="preserve">а </w:t>
      </w:r>
      <w:r w:rsidR="009F3B6A" w:rsidRPr="009F3B6A">
        <w:rPr>
          <w:rFonts w:ascii="Times New Roman" w:hAnsi="Times New Roman" w:cs="Times New Roman"/>
          <w:sz w:val="25"/>
          <w:szCs w:val="25"/>
        </w:rPr>
        <w:t>Министерства труда  и социальной защиты Российской Федерации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F3B6A" w:rsidRPr="009F3B6A">
        <w:rPr>
          <w:rFonts w:ascii="Times New Roman" w:hAnsi="Times New Roman" w:cs="Times New Roman"/>
          <w:sz w:val="25"/>
          <w:szCs w:val="25"/>
        </w:rPr>
        <w:t xml:space="preserve">от 16 декабря 2020 г. № 18-2/10/В-12085 о возможности приобретения цифровых финансовых активов и цифровой валюты и владения ими отдельными категориями лиц. </w:t>
      </w:r>
    </w:p>
    <w:p w:rsidR="00FD0304" w:rsidRPr="000E131F" w:rsidRDefault="00FD0304" w:rsidP="000E131F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0E131F">
        <w:rPr>
          <w:rFonts w:ascii="Times New Roman" w:hAnsi="Times New Roman" w:cs="Times New Roman"/>
          <w:sz w:val="25"/>
          <w:szCs w:val="25"/>
        </w:rPr>
        <w:t>А также принять меры к обеспечению неукоснительно</w:t>
      </w:r>
      <w:r w:rsidR="000E131F" w:rsidRPr="000E131F">
        <w:rPr>
          <w:rFonts w:ascii="Times New Roman" w:hAnsi="Times New Roman" w:cs="Times New Roman"/>
          <w:sz w:val="25"/>
          <w:szCs w:val="25"/>
        </w:rPr>
        <w:t>го</w:t>
      </w:r>
      <w:r w:rsidRPr="000E131F">
        <w:rPr>
          <w:rFonts w:ascii="Times New Roman" w:hAnsi="Times New Roman" w:cs="Times New Roman"/>
          <w:sz w:val="25"/>
          <w:szCs w:val="25"/>
        </w:rPr>
        <w:t xml:space="preserve"> </w:t>
      </w:r>
      <w:r w:rsidR="000E131F" w:rsidRPr="000E131F">
        <w:rPr>
          <w:rFonts w:ascii="Times New Roman" w:hAnsi="Times New Roman" w:cs="Times New Roman"/>
          <w:sz w:val="25"/>
          <w:szCs w:val="25"/>
        </w:rPr>
        <w:t>соблюдения</w:t>
      </w:r>
      <w:r w:rsidRPr="000E131F">
        <w:rPr>
          <w:rFonts w:ascii="Times New Roman" w:hAnsi="Times New Roman" w:cs="Times New Roman"/>
          <w:sz w:val="25"/>
          <w:szCs w:val="25"/>
        </w:rPr>
        <w:t xml:space="preserve"> государственными гражданскими служащими Департамента, руководителями подведомственных Департаменту государственных учреждений требований законодательства в дальнейшей деятельности по противодействию коррупции.</w:t>
      </w:r>
    </w:p>
    <w:p w:rsidR="009F3B6A" w:rsidRPr="009F3B6A" w:rsidRDefault="009F3B6A" w:rsidP="0025729C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B71E8D" w:rsidRPr="00B71E8D" w:rsidRDefault="00B71E8D" w:rsidP="00B71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B0D53" w:rsidRPr="007E5F97" w:rsidRDefault="003B0D53" w:rsidP="003B0D53">
      <w:pPr>
        <w:tabs>
          <w:tab w:val="left" w:pos="0"/>
        </w:tabs>
        <w:jc w:val="both"/>
        <w:rPr>
          <w:rFonts w:ascii="Times New Roman" w:hAnsi="Times New Roman" w:cs="Times New Roman"/>
          <w:sz w:val="25"/>
          <w:szCs w:val="25"/>
        </w:rPr>
      </w:pPr>
    </w:p>
    <w:p w:rsidR="003B0D53" w:rsidRDefault="003B0D53" w:rsidP="00D21B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R="003B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634"/>
    <w:multiLevelType w:val="multilevel"/>
    <w:tmpl w:val="F3B4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A91071C"/>
    <w:multiLevelType w:val="multilevel"/>
    <w:tmpl w:val="F3B4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E8A795B"/>
    <w:multiLevelType w:val="multilevel"/>
    <w:tmpl w:val="24AAC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C8"/>
    <w:rsid w:val="000047EC"/>
    <w:rsid w:val="00004E6C"/>
    <w:rsid w:val="00027380"/>
    <w:rsid w:val="000E131F"/>
    <w:rsid w:val="001155C5"/>
    <w:rsid w:val="00127F01"/>
    <w:rsid w:val="001742AB"/>
    <w:rsid w:val="001A1A2A"/>
    <w:rsid w:val="001F0D96"/>
    <w:rsid w:val="00225823"/>
    <w:rsid w:val="0025729C"/>
    <w:rsid w:val="002F5DFA"/>
    <w:rsid w:val="0033119D"/>
    <w:rsid w:val="003A38B4"/>
    <w:rsid w:val="003B0D53"/>
    <w:rsid w:val="003C55C9"/>
    <w:rsid w:val="003F1143"/>
    <w:rsid w:val="00491D7A"/>
    <w:rsid w:val="00582211"/>
    <w:rsid w:val="00593F49"/>
    <w:rsid w:val="007544E8"/>
    <w:rsid w:val="007A31C5"/>
    <w:rsid w:val="007E5F97"/>
    <w:rsid w:val="00840E93"/>
    <w:rsid w:val="00845C76"/>
    <w:rsid w:val="00861EAF"/>
    <w:rsid w:val="008C0A7F"/>
    <w:rsid w:val="00980AC7"/>
    <w:rsid w:val="009A4E6B"/>
    <w:rsid w:val="009B4FD1"/>
    <w:rsid w:val="009E741D"/>
    <w:rsid w:val="009F3B6A"/>
    <w:rsid w:val="00A340BC"/>
    <w:rsid w:val="00AA3EBC"/>
    <w:rsid w:val="00B0349A"/>
    <w:rsid w:val="00B555AA"/>
    <w:rsid w:val="00B71E8D"/>
    <w:rsid w:val="00C1630B"/>
    <w:rsid w:val="00CE0A28"/>
    <w:rsid w:val="00CE5C2E"/>
    <w:rsid w:val="00D21BBB"/>
    <w:rsid w:val="00D65FFA"/>
    <w:rsid w:val="00DD069D"/>
    <w:rsid w:val="00DD32B5"/>
    <w:rsid w:val="00E206D7"/>
    <w:rsid w:val="00E27D6D"/>
    <w:rsid w:val="00E3090F"/>
    <w:rsid w:val="00E972C8"/>
    <w:rsid w:val="00EA4A03"/>
    <w:rsid w:val="00EE17FE"/>
    <w:rsid w:val="00F23D0D"/>
    <w:rsid w:val="00F323F4"/>
    <w:rsid w:val="00F755E2"/>
    <w:rsid w:val="00FD0304"/>
    <w:rsid w:val="00F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6C"/>
    <w:pPr>
      <w:ind w:left="720"/>
      <w:contextualSpacing/>
    </w:pPr>
  </w:style>
  <w:style w:type="character" w:customStyle="1" w:styleId="a4">
    <w:name w:val="Гипертекстовая ссылка"/>
    <w:uiPriority w:val="99"/>
    <w:rsid w:val="00EA4A03"/>
    <w:rPr>
      <w:rFonts w:ascii="Verdana" w:hAnsi="Verdana" w:cs="Verdana"/>
      <w:color w:val="106BBE"/>
      <w:lang w:val="en-US" w:eastAsia="en-US" w:bidi="ar-SA"/>
    </w:rPr>
  </w:style>
  <w:style w:type="paragraph" w:customStyle="1" w:styleId="a5">
    <w:name w:val="Прижатый влево"/>
    <w:basedOn w:val="a"/>
    <w:next w:val="a"/>
    <w:uiPriority w:val="99"/>
    <w:rsid w:val="00F7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6C"/>
    <w:pPr>
      <w:ind w:left="720"/>
      <w:contextualSpacing/>
    </w:pPr>
  </w:style>
  <w:style w:type="character" w:customStyle="1" w:styleId="a4">
    <w:name w:val="Гипертекстовая ссылка"/>
    <w:uiPriority w:val="99"/>
    <w:rsid w:val="00EA4A03"/>
    <w:rPr>
      <w:rFonts w:ascii="Verdana" w:hAnsi="Verdana" w:cs="Verdana"/>
      <w:color w:val="106BBE"/>
      <w:lang w:val="en-US" w:eastAsia="en-US" w:bidi="ar-SA"/>
    </w:rPr>
  </w:style>
  <w:style w:type="paragraph" w:customStyle="1" w:styleId="a5">
    <w:name w:val="Прижатый влево"/>
    <w:basedOn w:val="a"/>
    <w:next w:val="a"/>
    <w:uiPriority w:val="99"/>
    <w:rsid w:val="00F7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47468.6" TargetMode="External"/><Relationship Id="rId13" Type="http://schemas.openxmlformats.org/officeDocument/2006/relationships/hyperlink" Target="garantF1://400047468.603" TargetMode="External"/><Relationship Id="rId18" Type="http://schemas.openxmlformats.org/officeDocument/2006/relationships/hyperlink" Target="garantF1://400047468.72" TargetMode="External"/><Relationship Id="rId26" Type="http://schemas.openxmlformats.org/officeDocument/2006/relationships/hyperlink" Target="garantF1://7493184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4931844.0" TargetMode="External"/><Relationship Id="rId7" Type="http://schemas.openxmlformats.org/officeDocument/2006/relationships/hyperlink" Target="garantF1://400047468.0" TargetMode="External"/><Relationship Id="rId12" Type="http://schemas.openxmlformats.org/officeDocument/2006/relationships/hyperlink" Target="garantF1://73304211.0" TargetMode="External"/><Relationship Id="rId17" Type="http://schemas.openxmlformats.org/officeDocument/2006/relationships/hyperlink" Target="garantF1://400047468.69" TargetMode="External"/><Relationship Id="rId25" Type="http://schemas.openxmlformats.org/officeDocument/2006/relationships/hyperlink" Target="garantF1://74351466.11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00047468.65" TargetMode="External"/><Relationship Id="rId20" Type="http://schemas.openxmlformats.org/officeDocument/2006/relationships/hyperlink" Target="garantF1://400047468.70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00047468.0" TargetMode="External"/><Relationship Id="rId11" Type="http://schemas.openxmlformats.org/officeDocument/2006/relationships/hyperlink" Target="garantF1://400047468.0" TargetMode="External"/><Relationship Id="rId24" Type="http://schemas.openxmlformats.org/officeDocument/2006/relationships/hyperlink" Target="garantF1://7435146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00047468.61" TargetMode="External"/><Relationship Id="rId23" Type="http://schemas.openxmlformats.org/officeDocument/2006/relationships/hyperlink" Target="garantF1://74931844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400047468.15" TargetMode="External"/><Relationship Id="rId19" Type="http://schemas.openxmlformats.org/officeDocument/2006/relationships/hyperlink" Target="garantF1://400047468.1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0047468.13" TargetMode="External"/><Relationship Id="rId14" Type="http://schemas.openxmlformats.org/officeDocument/2006/relationships/hyperlink" Target="garantF1://400047468.609" TargetMode="External"/><Relationship Id="rId22" Type="http://schemas.openxmlformats.org/officeDocument/2006/relationships/hyperlink" Target="garantF1://400047468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Т.В.</dc:creator>
  <cp:keywords/>
  <dc:description/>
  <cp:lastModifiedBy>Свиридова Т.В.</cp:lastModifiedBy>
  <cp:revision>5</cp:revision>
  <dcterms:created xsi:type="dcterms:W3CDTF">2020-04-01T00:30:00Z</dcterms:created>
  <dcterms:modified xsi:type="dcterms:W3CDTF">2021-04-03T09:50:00Z</dcterms:modified>
</cp:coreProperties>
</file>