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AAF44" w14:textId="7B65AF0A" w:rsidR="0065396D" w:rsidRDefault="00773462" w:rsidP="00C869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13</w:t>
      </w:r>
      <w:r w:rsidR="003450FB">
        <w:rPr>
          <w:rFonts w:ascii="Times New Roman" w:hAnsi="Times New Roman" w:cs="Times New Roman"/>
          <w:sz w:val="28"/>
          <w:szCs w:val="28"/>
        </w:rPr>
        <w:t>)</w:t>
      </w:r>
      <w:r w:rsidR="0065396D" w:rsidRPr="00870BA3">
        <w:rPr>
          <w:rFonts w:ascii="Times New Roman" w:hAnsi="Times New Roman" w:cs="Times New Roman"/>
          <w:sz w:val="28"/>
          <w:szCs w:val="28"/>
        </w:rPr>
        <w:t xml:space="preserve"> </w:t>
      </w:r>
      <w:r w:rsidR="0065396D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65396D" w:rsidRPr="00000047">
        <w:rPr>
          <w:rFonts w:ascii="Times New Roman" w:hAnsi="Times New Roman" w:cs="Times New Roman"/>
          <w:sz w:val="28"/>
          <w:szCs w:val="28"/>
        </w:rPr>
        <w:t xml:space="preserve">1.1 </w:t>
      </w:r>
      <w:r w:rsidR="0065396D">
        <w:rPr>
          <w:rFonts w:ascii="Times New Roman" w:hAnsi="Times New Roman" w:cs="Times New Roman"/>
          <w:sz w:val="28"/>
          <w:szCs w:val="28"/>
        </w:rPr>
        <w:t>«</w:t>
      </w:r>
      <w:r w:rsidR="0065396D" w:rsidRPr="00000047">
        <w:rPr>
          <w:rFonts w:ascii="Times New Roman" w:hAnsi="Times New Roman" w:cs="Times New Roman"/>
          <w:sz w:val="28"/>
          <w:szCs w:val="28"/>
        </w:rPr>
        <w:t>Перечень подлежащих предоставлению государственных гарантий Чукотского автономного округа в 202</w:t>
      </w:r>
      <w:r w:rsidR="0065396D">
        <w:rPr>
          <w:rFonts w:ascii="Times New Roman" w:hAnsi="Times New Roman" w:cs="Times New Roman"/>
          <w:sz w:val="28"/>
          <w:szCs w:val="28"/>
        </w:rPr>
        <w:t>5</w:t>
      </w:r>
      <w:r w:rsidR="0065396D" w:rsidRPr="00000047">
        <w:rPr>
          <w:rFonts w:ascii="Times New Roman" w:hAnsi="Times New Roman" w:cs="Times New Roman"/>
          <w:sz w:val="28"/>
          <w:szCs w:val="28"/>
        </w:rPr>
        <w:t xml:space="preserve"> году</w:t>
      </w:r>
      <w:r w:rsidR="0065396D">
        <w:rPr>
          <w:rFonts w:ascii="Times New Roman" w:hAnsi="Times New Roman" w:cs="Times New Roman"/>
          <w:sz w:val="28"/>
          <w:szCs w:val="28"/>
        </w:rPr>
        <w:t xml:space="preserve">» </w:t>
      </w:r>
      <w:r w:rsidR="0065396D" w:rsidRPr="00323D83">
        <w:rPr>
          <w:rFonts w:ascii="Times New Roman" w:hAnsi="Times New Roman" w:cs="Times New Roman"/>
          <w:sz w:val="28"/>
          <w:szCs w:val="28"/>
        </w:rPr>
        <w:t>приложени</w:t>
      </w:r>
      <w:r w:rsidR="0065396D">
        <w:rPr>
          <w:rFonts w:ascii="Times New Roman" w:hAnsi="Times New Roman" w:cs="Times New Roman"/>
          <w:sz w:val="28"/>
          <w:szCs w:val="28"/>
        </w:rPr>
        <w:t>я</w:t>
      </w:r>
      <w:r w:rsidR="0065396D" w:rsidRPr="00323D83">
        <w:rPr>
          <w:rFonts w:ascii="Times New Roman" w:hAnsi="Times New Roman" w:cs="Times New Roman"/>
          <w:sz w:val="28"/>
          <w:szCs w:val="28"/>
        </w:rPr>
        <w:t xml:space="preserve"> 22 «Программа государственных гарантий Чукотского автономного округа на 202</w:t>
      </w:r>
      <w:r w:rsidR="0065396D">
        <w:rPr>
          <w:rFonts w:ascii="Times New Roman" w:hAnsi="Times New Roman" w:cs="Times New Roman"/>
          <w:sz w:val="28"/>
          <w:szCs w:val="28"/>
        </w:rPr>
        <w:t>5</w:t>
      </w:r>
      <w:r w:rsidR="0065396D" w:rsidRPr="00323D8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5396D">
        <w:rPr>
          <w:rFonts w:ascii="Times New Roman" w:hAnsi="Times New Roman" w:cs="Times New Roman"/>
          <w:sz w:val="28"/>
          <w:szCs w:val="28"/>
        </w:rPr>
        <w:t>6</w:t>
      </w:r>
      <w:r w:rsidR="0065396D" w:rsidRPr="00323D83">
        <w:rPr>
          <w:rFonts w:ascii="Times New Roman" w:hAnsi="Times New Roman" w:cs="Times New Roman"/>
          <w:sz w:val="28"/>
          <w:szCs w:val="28"/>
        </w:rPr>
        <w:t xml:space="preserve"> и 202</w:t>
      </w:r>
      <w:r w:rsidR="0065396D">
        <w:rPr>
          <w:rFonts w:ascii="Times New Roman" w:hAnsi="Times New Roman" w:cs="Times New Roman"/>
          <w:sz w:val="28"/>
          <w:szCs w:val="28"/>
        </w:rPr>
        <w:t>7</w:t>
      </w:r>
      <w:r w:rsidR="0065396D" w:rsidRPr="00323D83">
        <w:rPr>
          <w:rFonts w:ascii="Times New Roman" w:hAnsi="Times New Roman" w:cs="Times New Roman"/>
          <w:sz w:val="28"/>
          <w:szCs w:val="28"/>
        </w:rPr>
        <w:t xml:space="preserve"> годов»:</w:t>
      </w:r>
      <w:r w:rsidR="0065396D" w:rsidRPr="00562B9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25680657" w14:textId="77777777" w:rsidR="00C86967" w:rsidRDefault="00C86967" w:rsidP="00C869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546" w:type="pct"/>
        <w:tblInd w:w="-851" w:type="dxa"/>
        <w:tblLook w:val="04A0" w:firstRow="1" w:lastRow="0" w:firstColumn="1" w:lastColumn="0" w:noHBand="0" w:noVBand="1"/>
      </w:tblPr>
      <w:tblGrid>
        <w:gridCol w:w="684"/>
        <w:gridCol w:w="2531"/>
        <w:gridCol w:w="1837"/>
        <w:gridCol w:w="3597"/>
        <w:gridCol w:w="2408"/>
        <w:gridCol w:w="2263"/>
        <w:gridCol w:w="2841"/>
      </w:tblGrid>
      <w:tr w:rsidR="000156C7" w:rsidRPr="000156C7" w14:paraId="3FF89DA7" w14:textId="77777777" w:rsidTr="000156C7">
        <w:trPr>
          <w:trHeight w:val="20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F6CF" w14:textId="77777777" w:rsidR="000156C7" w:rsidRPr="00C8696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ru-RU"/>
                <w14:ligatures w14:val="none"/>
              </w:rPr>
            </w:pPr>
          </w:p>
        </w:tc>
        <w:tc>
          <w:tcPr>
            <w:tcW w:w="47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67C30" w14:textId="77777777" w:rsidR="000156C7" w:rsidRDefault="00575635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563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0156C7" w:rsidRPr="000156C7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1.1. Перечень подлежащих предоставлению государственных гарантий Чукотского автономного округа в 2025 году</w:t>
            </w:r>
          </w:p>
          <w:p w14:paraId="24F2815F" w14:textId="77777777" w:rsidR="00877E35" w:rsidRPr="00C86967" w:rsidRDefault="00877E35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  <w:p w14:paraId="446A602E" w14:textId="02569606" w:rsidR="00877E35" w:rsidRPr="000156C7" w:rsidRDefault="00877E35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0156C7" w:rsidRPr="000156C7" w14:paraId="0023FDBC" w14:textId="77777777" w:rsidTr="000156C7">
        <w:trPr>
          <w:trHeight w:val="20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DA72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FD2BE4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89B9EB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E6262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0126BD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37F208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4D00CA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0156C7" w:rsidRPr="000156C7" w14:paraId="0A095C0E" w14:textId="77777777" w:rsidTr="000156C7">
        <w:trPr>
          <w:trHeight w:val="20"/>
        </w:trPr>
        <w:tc>
          <w:tcPr>
            <w:tcW w:w="212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FC9B92F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8D24080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5016377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151948A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1BC307A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B9C7098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B983A82" w14:textId="77777777" w:rsidR="000156C7" w:rsidRPr="000156C7" w:rsidRDefault="000156C7" w:rsidP="00015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0156C7" w:rsidRPr="000156C7" w14:paraId="137BF9D7" w14:textId="77777777" w:rsidTr="000156C7">
        <w:trPr>
          <w:trHeight w:val="20"/>
        </w:trPr>
        <w:tc>
          <w:tcPr>
            <w:tcW w:w="21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D3BDC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783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108E384C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Цель гарантирования</w:t>
            </w:r>
          </w:p>
        </w:tc>
        <w:tc>
          <w:tcPr>
            <w:tcW w:w="568" w:type="pc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hideMark/>
          </w:tcPr>
          <w:p w14:paraId="3B127920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Сумма гарантирования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hideMark/>
          </w:tcPr>
          <w:p w14:paraId="4EBD9F55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Категория и (или) наименование принципала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6707F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Наличие права регрессного требования</w:t>
            </w:r>
          </w:p>
        </w:tc>
        <w:tc>
          <w:tcPr>
            <w:tcW w:w="700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35669234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Обеспечение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879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3B03951B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Иные условия предоставления и исполнения государственных гарантий Чукотского автономного округа</w:t>
            </w:r>
          </w:p>
        </w:tc>
      </w:tr>
    </w:tbl>
    <w:p w14:paraId="6E117CA8" w14:textId="77777777" w:rsidR="000156C7" w:rsidRPr="0065396D" w:rsidRDefault="000156C7" w:rsidP="000156C7">
      <w:pPr>
        <w:spacing w:after="0" w:line="14" w:lineRule="auto"/>
        <w:rPr>
          <w:sz w:val="2"/>
          <w:szCs w:val="2"/>
        </w:rPr>
      </w:pPr>
    </w:p>
    <w:tbl>
      <w:tblPr>
        <w:tblW w:w="5550" w:type="pct"/>
        <w:tblInd w:w="-856" w:type="dxa"/>
        <w:tblLook w:val="04A0" w:firstRow="1" w:lastRow="0" w:firstColumn="1" w:lastColumn="0" w:noHBand="0" w:noVBand="1"/>
      </w:tblPr>
      <w:tblGrid>
        <w:gridCol w:w="685"/>
        <w:gridCol w:w="2531"/>
        <w:gridCol w:w="1836"/>
        <w:gridCol w:w="3598"/>
        <w:gridCol w:w="2408"/>
        <w:gridCol w:w="2263"/>
        <w:gridCol w:w="2841"/>
      </w:tblGrid>
      <w:tr w:rsidR="000156C7" w:rsidRPr="000156C7" w14:paraId="784F8364" w14:textId="77777777" w:rsidTr="00877E35">
        <w:trPr>
          <w:trHeight w:val="20"/>
          <w:tblHeader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C5618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F97E8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7A2C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AA20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53AF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340B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712B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</w:tr>
      <w:tr w:rsidR="000156C7" w:rsidRPr="000156C7" w14:paraId="0D223F33" w14:textId="77777777" w:rsidTr="00877E35">
        <w:trPr>
          <w:trHeight w:val="20"/>
        </w:trPr>
        <w:tc>
          <w:tcPr>
            <w:tcW w:w="212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1D708E70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021522F4" w14:textId="2519A705" w:rsidR="000156C7" w:rsidRPr="000156C7" w:rsidRDefault="000156C7" w:rsidP="000156C7">
            <w:pPr>
              <w:spacing w:after="28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Для обеспечения исполнения обязательств по кредитам, привлекаемым юридическими лицами на: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1.1. Приобретение и доставку топлива (нефтепродуктов);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1.2. Приобретение и доставку продовольственных товаров (за исключением 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подакцизных товаров) 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1.3. Подготовку флота к навигации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</w:tcBorders>
            <w:shd w:val="clear" w:color="000000" w:fill="FFFFFF"/>
            <w:hideMark/>
          </w:tcPr>
          <w:p w14:paraId="06B5702C" w14:textId="77777777" w:rsidR="000156C7" w:rsidRPr="00573C30" w:rsidRDefault="000156C7" w:rsidP="00015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</w:p>
          <w:p w14:paraId="144DCBBE" w14:textId="77777777" w:rsidR="000156C7" w:rsidRPr="00573C30" w:rsidRDefault="000156C7" w:rsidP="00015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9AF8715" w14:textId="799CED70" w:rsidR="000156C7" w:rsidRPr="00573C30" w:rsidRDefault="000156C7" w:rsidP="00015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14 900 000,00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500 000,0 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200 000,0 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350 000,0 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</w:p>
          <w:p w14:paraId="2E66EB4D" w14:textId="77777777" w:rsidR="000156C7" w:rsidRPr="00573C30" w:rsidRDefault="000156C7" w:rsidP="00015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FEA89F5" w14:textId="2D303B7D" w:rsidR="000156C7" w:rsidRPr="00573C30" w:rsidRDefault="000156C7" w:rsidP="00015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250 000,0</w:t>
            </w:r>
          </w:p>
        </w:tc>
        <w:tc>
          <w:tcPr>
            <w:tcW w:w="1113" w:type="pct"/>
            <w:vMerge w:val="restart"/>
            <w:tcBorders>
              <w:top w:val="single" w:sz="4" w:space="0" w:color="auto"/>
            </w:tcBorders>
            <w:shd w:val="clear" w:color="000000" w:fill="FFFFFF"/>
            <w:hideMark/>
          </w:tcPr>
          <w:p w14:paraId="6BCC90F2" w14:textId="77777777" w:rsidR="000156C7" w:rsidRPr="00573C30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Юридические лица, зарегистрированные и осуществляющие свою деятельность на территории Чукотского автономного округа: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</w:p>
          <w:p w14:paraId="61394B7A" w14:textId="77777777" w:rsidR="000156C7" w:rsidRPr="00573C30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DEC6112" w14:textId="0691342C" w:rsidR="000156C7" w:rsidRPr="00573C30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 АО 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Чукотснаб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 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ООО 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Чукотоптторг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ООО «Новомариинский ТПК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ООО 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Берингов Пролив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</w:p>
          <w:p w14:paraId="029E3EE2" w14:textId="77777777" w:rsidR="000156C7" w:rsidRPr="00573C30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3BB795C" w14:textId="3ACD52B3" w:rsidR="000156C7" w:rsidRPr="00573C30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 АО 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Анадырьморпорт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  <w:r w:rsidRPr="00573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A2BAAD8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Есть, за исключением: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1. Хозяйственного общества, 100 процентов акций (долей) которого принадлежит Чукотскому автономному округу;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2. Государственного унитарного предприятия, имущество которого находится в собственности 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Чукотского автономного округа;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845F3F0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Есть, за исключением: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1. Хозяйственного общества, 100 процентов акций (долей) которого принадлежит Чукотскому автономному округу;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2. Государственного унитарного предприятия, имущество 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которого находится в собственности Чукотского автономного округа;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87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EAC255D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1.Государственная гарантия Чукотского автономного округа предоставляется в обеспечение исполнения обязательств принципала по возврату суммы кредита, процентов в объеме до 100 процентов названного обязательства;</w:t>
            </w:r>
          </w:p>
        </w:tc>
      </w:tr>
      <w:tr w:rsidR="000156C7" w:rsidRPr="000156C7" w14:paraId="39308AF0" w14:textId="77777777" w:rsidTr="00877E35">
        <w:trPr>
          <w:trHeight w:val="20"/>
        </w:trPr>
        <w:tc>
          <w:tcPr>
            <w:tcW w:w="212" w:type="pct"/>
            <w:vMerge/>
            <w:vAlign w:val="center"/>
            <w:hideMark/>
          </w:tcPr>
          <w:p w14:paraId="75DF35E8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83" w:type="pct"/>
            <w:vMerge/>
            <w:vAlign w:val="center"/>
            <w:hideMark/>
          </w:tcPr>
          <w:p w14:paraId="0F23EFD5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8" w:type="pct"/>
            <w:vMerge/>
            <w:vAlign w:val="center"/>
            <w:hideMark/>
          </w:tcPr>
          <w:p w14:paraId="70B47D3E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13" w:type="pct"/>
            <w:vMerge/>
            <w:vAlign w:val="center"/>
            <w:hideMark/>
          </w:tcPr>
          <w:p w14:paraId="57359C92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5" w:type="pct"/>
            <w:vMerge/>
            <w:vAlign w:val="center"/>
            <w:hideMark/>
          </w:tcPr>
          <w:p w14:paraId="3EC4805B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0" w:type="pct"/>
            <w:vMerge/>
            <w:vAlign w:val="center"/>
            <w:hideMark/>
          </w:tcPr>
          <w:p w14:paraId="137CEB71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79" w:type="pct"/>
            <w:shd w:val="clear" w:color="auto" w:fill="auto"/>
            <w:hideMark/>
          </w:tcPr>
          <w:p w14:paraId="3A61135C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2. Правительство Чукотского автономного округа по государственным гарантиям Чукотского 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автономного округа несет субсидиарную ответственность;</w:t>
            </w:r>
          </w:p>
        </w:tc>
      </w:tr>
      <w:tr w:rsidR="000156C7" w:rsidRPr="000156C7" w14:paraId="63CF147B" w14:textId="77777777" w:rsidTr="00877E35">
        <w:trPr>
          <w:trHeight w:val="20"/>
        </w:trPr>
        <w:tc>
          <w:tcPr>
            <w:tcW w:w="212" w:type="pct"/>
            <w:vMerge/>
            <w:vAlign w:val="center"/>
            <w:hideMark/>
          </w:tcPr>
          <w:p w14:paraId="164EDCDA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83" w:type="pct"/>
            <w:vMerge/>
            <w:vAlign w:val="center"/>
            <w:hideMark/>
          </w:tcPr>
          <w:p w14:paraId="6A7B4B7E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8" w:type="pct"/>
            <w:vMerge/>
            <w:vAlign w:val="center"/>
            <w:hideMark/>
          </w:tcPr>
          <w:p w14:paraId="170C18BD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13" w:type="pct"/>
            <w:vMerge/>
            <w:vAlign w:val="center"/>
            <w:hideMark/>
          </w:tcPr>
          <w:p w14:paraId="461DB6B8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5" w:type="pct"/>
            <w:vMerge/>
            <w:vAlign w:val="center"/>
            <w:hideMark/>
          </w:tcPr>
          <w:p w14:paraId="7CF78330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0" w:type="pct"/>
            <w:vMerge/>
            <w:vAlign w:val="center"/>
            <w:hideMark/>
          </w:tcPr>
          <w:p w14:paraId="3E70BA2E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79" w:type="pct"/>
            <w:shd w:val="clear" w:color="auto" w:fill="auto"/>
            <w:hideMark/>
          </w:tcPr>
          <w:p w14:paraId="05A3465D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3. Государственной гарантией Чукотского автономного округа не обеспечивается исполнение обязательств принципала по уплате штрафов, комиссий, пени, иных платежей;</w:t>
            </w:r>
          </w:p>
        </w:tc>
      </w:tr>
      <w:tr w:rsidR="000156C7" w:rsidRPr="000156C7" w14:paraId="25536146" w14:textId="77777777" w:rsidTr="00877E35">
        <w:trPr>
          <w:trHeight w:val="20"/>
        </w:trPr>
        <w:tc>
          <w:tcPr>
            <w:tcW w:w="212" w:type="pct"/>
            <w:vMerge/>
            <w:vAlign w:val="center"/>
            <w:hideMark/>
          </w:tcPr>
          <w:p w14:paraId="1A51A374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83" w:type="pct"/>
            <w:vMerge/>
            <w:vAlign w:val="center"/>
            <w:hideMark/>
          </w:tcPr>
          <w:p w14:paraId="48F85AC7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8" w:type="pct"/>
            <w:vMerge/>
            <w:vAlign w:val="center"/>
            <w:hideMark/>
          </w:tcPr>
          <w:p w14:paraId="7ABF62A0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13" w:type="pct"/>
            <w:vMerge/>
            <w:vAlign w:val="center"/>
            <w:hideMark/>
          </w:tcPr>
          <w:p w14:paraId="1B378844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5" w:type="pct"/>
            <w:vMerge/>
            <w:vAlign w:val="center"/>
            <w:hideMark/>
          </w:tcPr>
          <w:p w14:paraId="3C736129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0" w:type="pct"/>
            <w:vMerge/>
            <w:vAlign w:val="center"/>
            <w:hideMark/>
          </w:tcPr>
          <w:p w14:paraId="31632E2C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79" w:type="pct"/>
            <w:shd w:val="clear" w:color="auto" w:fill="auto"/>
            <w:hideMark/>
          </w:tcPr>
          <w:p w14:paraId="44EF2460" w14:textId="030FC7B0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4. Государственная гарантия Чукотского автономного округа прекращается в случаях и в сроки, установленные государственной гарантией.</w:t>
            </w:r>
          </w:p>
        </w:tc>
      </w:tr>
      <w:tr w:rsidR="000156C7" w:rsidRPr="000156C7" w14:paraId="62A59A98" w14:textId="77777777" w:rsidTr="00877E35">
        <w:trPr>
          <w:trHeight w:val="20"/>
        </w:trPr>
        <w:tc>
          <w:tcPr>
            <w:tcW w:w="212" w:type="pct"/>
            <w:vMerge w:val="restart"/>
            <w:shd w:val="clear" w:color="auto" w:fill="auto"/>
            <w:hideMark/>
          </w:tcPr>
          <w:p w14:paraId="0AC79193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</w:t>
            </w:r>
          </w:p>
        </w:tc>
        <w:tc>
          <w:tcPr>
            <w:tcW w:w="783" w:type="pct"/>
            <w:vMerge w:val="restart"/>
            <w:shd w:val="clear" w:color="auto" w:fill="auto"/>
            <w:hideMark/>
          </w:tcPr>
          <w:p w14:paraId="25287165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Для обеспечения обязательств по договору о предоставлении субсидии из федерального бюджета российским авиакомпаниям в целях обновления парка воздушных судов для осуществления внутренних региональных и местных воздушных перевозок</w:t>
            </w:r>
          </w:p>
        </w:tc>
        <w:tc>
          <w:tcPr>
            <w:tcW w:w="568" w:type="pct"/>
            <w:vMerge w:val="restart"/>
            <w:shd w:val="clear" w:color="000000" w:fill="FFFFFF"/>
            <w:noWrap/>
            <w:hideMark/>
          </w:tcPr>
          <w:p w14:paraId="1B9303FD" w14:textId="77777777" w:rsidR="000156C7" w:rsidRPr="000156C7" w:rsidRDefault="000156C7" w:rsidP="00015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170 910,0</w:t>
            </w:r>
          </w:p>
        </w:tc>
        <w:tc>
          <w:tcPr>
            <w:tcW w:w="1113" w:type="pct"/>
            <w:vMerge w:val="restart"/>
            <w:shd w:val="clear" w:color="auto" w:fill="auto"/>
            <w:hideMark/>
          </w:tcPr>
          <w:p w14:paraId="720CC1A5" w14:textId="074B9F54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АО 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ЧукотАВИА</w:t>
            </w:r>
            <w:r w:rsidR="00C3479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</w:p>
        </w:tc>
        <w:tc>
          <w:tcPr>
            <w:tcW w:w="745" w:type="pct"/>
            <w:vMerge/>
            <w:vAlign w:val="center"/>
            <w:hideMark/>
          </w:tcPr>
          <w:p w14:paraId="6E6DD4BE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0" w:type="pct"/>
            <w:vMerge/>
            <w:vAlign w:val="center"/>
            <w:hideMark/>
          </w:tcPr>
          <w:p w14:paraId="06877C55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79" w:type="pct"/>
            <w:shd w:val="clear" w:color="auto" w:fill="auto"/>
            <w:hideMark/>
          </w:tcPr>
          <w:p w14:paraId="16B96D5F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1. Государственная гарантия Чукотского автономного округа предоставляется в обеспечение договора о предоставлении субсидии на приобретение воздушного судна по договору лизинга , согласно Постановлению Правительства Российской Федерации от 30 декабря 2011 года № 1212 «Об утверждении Правил </w:t>
            </w: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предоставления субсидий из федерального бюджета российским авиакомпаниям, региональным унитарным предприятиям, не являющимся российскими авиакомпаниями, в целях обновления парка воздушных судов для осуществления внутренних региональных и местных воздушных перевозок»;</w:t>
            </w:r>
          </w:p>
        </w:tc>
      </w:tr>
      <w:tr w:rsidR="000156C7" w:rsidRPr="000156C7" w14:paraId="43F75607" w14:textId="77777777" w:rsidTr="00877E35">
        <w:trPr>
          <w:trHeight w:val="20"/>
        </w:trPr>
        <w:tc>
          <w:tcPr>
            <w:tcW w:w="212" w:type="pct"/>
            <w:vMerge/>
            <w:vAlign w:val="center"/>
            <w:hideMark/>
          </w:tcPr>
          <w:p w14:paraId="0628A532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83" w:type="pct"/>
            <w:vMerge/>
            <w:vAlign w:val="center"/>
            <w:hideMark/>
          </w:tcPr>
          <w:p w14:paraId="605618D3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8" w:type="pct"/>
            <w:vMerge/>
            <w:vAlign w:val="center"/>
            <w:hideMark/>
          </w:tcPr>
          <w:p w14:paraId="62033031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13" w:type="pct"/>
            <w:vMerge/>
            <w:vAlign w:val="center"/>
            <w:hideMark/>
          </w:tcPr>
          <w:p w14:paraId="2F5CA3F7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5" w:type="pct"/>
            <w:vMerge/>
            <w:vAlign w:val="center"/>
            <w:hideMark/>
          </w:tcPr>
          <w:p w14:paraId="100AFE3E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0" w:type="pct"/>
            <w:vMerge/>
            <w:vAlign w:val="center"/>
            <w:hideMark/>
          </w:tcPr>
          <w:p w14:paraId="10C85D41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79" w:type="pct"/>
            <w:shd w:val="clear" w:color="auto" w:fill="auto"/>
            <w:hideMark/>
          </w:tcPr>
          <w:p w14:paraId="71AE3A16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 Правительство Чукотского автономного округа по государственным гарантиям Чукотского автономного округа несет субсидиарную ответственность;</w:t>
            </w:r>
          </w:p>
        </w:tc>
      </w:tr>
      <w:tr w:rsidR="000156C7" w:rsidRPr="000156C7" w14:paraId="5AECFA08" w14:textId="77777777" w:rsidTr="00877E35">
        <w:trPr>
          <w:trHeight w:val="20"/>
        </w:trPr>
        <w:tc>
          <w:tcPr>
            <w:tcW w:w="212" w:type="pct"/>
            <w:vMerge/>
            <w:vAlign w:val="center"/>
            <w:hideMark/>
          </w:tcPr>
          <w:p w14:paraId="02AC2416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83" w:type="pct"/>
            <w:vMerge/>
            <w:vAlign w:val="center"/>
            <w:hideMark/>
          </w:tcPr>
          <w:p w14:paraId="20F115CB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8" w:type="pct"/>
            <w:vMerge/>
            <w:vAlign w:val="center"/>
            <w:hideMark/>
          </w:tcPr>
          <w:p w14:paraId="5BDDD042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13" w:type="pct"/>
            <w:vMerge/>
            <w:vAlign w:val="center"/>
            <w:hideMark/>
          </w:tcPr>
          <w:p w14:paraId="678B57B4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5" w:type="pct"/>
            <w:vMerge/>
            <w:vAlign w:val="center"/>
            <w:hideMark/>
          </w:tcPr>
          <w:p w14:paraId="67B08B86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0" w:type="pct"/>
            <w:vMerge/>
            <w:vAlign w:val="center"/>
            <w:hideMark/>
          </w:tcPr>
          <w:p w14:paraId="7AE58C89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79" w:type="pct"/>
            <w:shd w:val="clear" w:color="auto" w:fill="auto"/>
            <w:hideMark/>
          </w:tcPr>
          <w:p w14:paraId="534D6372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 Государственной гарантией Чукотского автономного округа не обеспечивается исполнение обязательств принципала по уплате штрафов, комиссий, пени, процентов, иных платежей;</w:t>
            </w:r>
          </w:p>
        </w:tc>
      </w:tr>
      <w:tr w:rsidR="000156C7" w:rsidRPr="000156C7" w14:paraId="11732E6F" w14:textId="77777777" w:rsidTr="00877E35">
        <w:trPr>
          <w:trHeight w:val="20"/>
        </w:trPr>
        <w:tc>
          <w:tcPr>
            <w:tcW w:w="212" w:type="pct"/>
            <w:vMerge/>
            <w:vAlign w:val="center"/>
            <w:hideMark/>
          </w:tcPr>
          <w:p w14:paraId="5040FB24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83" w:type="pct"/>
            <w:vMerge/>
            <w:vAlign w:val="center"/>
            <w:hideMark/>
          </w:tcPr>
          <w:p w14:paraId="67EF860B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8" w:type="pct"/>
            <w:vMerge/>
            <w:vAlign w:val="center"/>
            <w:hideMark/>
          </w:tcPr>
          <w:p w14:paraId="6AF63866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13" w:type="pct"/>
            <w:vMerge/>
            <w:vAlign w:val="center"/>
            <w:hideMark/>
          </w:tcPr>
          <w:p w14:paraId="02DE8A2F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5" w:type="pct"/>
            <w:vMerge/>
            <w:vAlign w:val="center"/>
            <w:hideMark/>
          </w:tcPr>
          <w:p w14:paraId="2E67DA8F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0" w:type="pct"/>
            <w:vMerge/>
            <w:vAlign w:val="center"/>
            <w:hideMark/>
          </w:tcPr>
          <w:p w14:paraId="61385D3E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79" w:type="pct"/>
            <w:shd w:val="clear" w:color="auto" w:fill="auto"/>
            <w:hideMark/>
          </w:tcPr>
          <w:p w14:paraId="4A5DF455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4. Государственная гарантия Чукотского автономного округа прекращается в случаях и в сроки, установленные государственной гарантией.</w:t>
            </w:r>
          </w:p>
        </w:tc>
      </w:tr>
      <w:tr w:rsidR="000156C7" w:rsidRPr="000156C7" w14:paraId="157DBEDB" w14:textId="77777777" w:rsidTr="00877E35">
        <w:trPr>
          <w:trHeight w:val="20"/>
        </w:trPr>
        <w:tc>
          <w:tcPr>
            <w:tcW w:w="995" w:type="pct"/>
            <w:gridSpan w:val="2"/>
            <w:shd w:val="clear" w:color="auto" w:fill="auto"/>
            <w:noWrap/>
            <w:vAlign w:val="bottom"/>
            <w:hideMark/>
          </w:tcPr>
          <w:p w14:paraId="0AC90BBB" w14:textId="77777777" w:rsidR="000156C7" w:rsidRPr="000156C7" w:rsidRDefault="000156C7" w:rsidP="00015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ИТОГО</w:t>
            </w:r>
          </w:p>
        </w:tc>
        <w:tc>
          <w:tcPr>
            <w:tcW w:w="568" w:type="pct"/>
            <w:shd w:val="clear" w:color="000000" w:fill="FFFFFF"/>
            <w:noWrap/>
            <w:vAlign w:val="bottom"/>
            <w:hideMark/>
          </w:tcPr>
          <w:p w14:paraId="5DD3A946" w14:textId="77777777" w:rsidR="000156C7" w:rsidRPr="000156C7" w:rsidRDefault="000156C7" w:rsidP="00015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16 370 910,0</w:t>
            </w:r>
          </w:p>
        </w:tc>
        <w:tc>
          <w:tcPr>
            <w:tcW w:w="1113" w:type="pct"/>
            <w:shd w:val="clear" w:color="auto" w:fill="auto"/>
            <w:vAlign w:val="bottom"/>
            <w:hideMark/>
          </w:tcPr>
          <w:p w14:paraId="1C11BFF1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х</w:t>
            </w:r>
          </w:p>
        </w:tc>
        <w:tc>
          <w:tcPr>
            <w:tcW w:w="745" w:type="pct"/>
            <w:shd w:val="clear" w:color="auto" w:fill="auto"/>
            <w:vAlign w:val="bottom"/>
            <w:hideMark/>
          </w:tcPr>
          <w:p w14:paraId="6FFD4E66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х</w:t>
            </w:r>
          </w:p>
        </w:tc>
        <w:tc>
          <w:tcPr>
            <w:tcW w:w="700" w:type="pct"/>
            <w:shd w:val="clear" w:color="auto" w:fill="auto"/>
            <w:vAlign w:val="bottom"/>
            <w:hideMark/>
          </w:tcPr>
          <w:p w14:paraId="63B594B1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х</w:t>
            </w:r>
          </w:p>
        </w:tc>
        <w:tc>
          <w:tcPr>
            <w:tcW w:w="879" w:type="pct"/>
            <w:shd w:val="clear" w:color="auto" w:fill="auto"/>
            <w:vAlign w:val="bottom"/>
            <w:hideMark/>
          </w:tcPr>
          <w:p w14:paraId="48162B08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156C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х</w:t>
            </w:r>
          </w:p>
        </w:tc>
      </w:tr>
      <w:tr w:rsidR="000156C7" w:rsidRPr="000156C7" w14:paraId="15ECD5FF" w14:textId="77777777" w:rsidTr="00877E35">
        <w:trPr>
          <w:trHeight w:val="20"/>
        </w:trPr>
        <w:tc>
          <w:tcPr>
            <w:tcW w:w="212" w:type="pct"/>
            <w:shd w:val="clear" w:color="auto" w:fill="auto"/>
            <w:noWrap/>
            <w:vAlign w:val="bottom"/>
            <w:hideMark/>
          </w:tcPr>
          <w:p w14:paraId="140F8F15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83" w:type="pct"/>
            <w:shd w:val="clear" w:color="auto" w:fill="auto"/>
            <w:vAlign w:val="bottom"/>
            <w:hideMark/>
          </w:tcPr>
          <w:p w14:paraId="33F0E2F5" w14:textId="77777777" w:rsidR="000156C7" w:rsidRPr="000156C7" w:rsidRDefault="000156C7" w:rsidP="000156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8" w:type="pct"/>
            <w:shd w:val="clear" w:color="auto" w:fill="auto"/>
            <w:vAlign w:val="bottom"/>
            <w:hideMark/>
          </w:tcPr>
          <w:p w14:paraId="3B3FB209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13" w:type="pct"/>
            <w:shd w:val="clear" w:color="auto" w:fill="auto"/>
            <w:vAlign w:val="bottom"/>
            <w:hideMark/>
          </w:tcPr>
          <w:p w14:paraId="159DE5BA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5" w:type="pct"/>
            <w:shd w:val="clear" w:color="auto" w:fill="auto"/>
            <w:vAlign w:val="bottom"/>
            <w:hideMark/>
          </w:tcPr>
          <w:p w14:paraId="6582DDF8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0" w:type="pct"/>
            <w:shd w:val="clear" w:color="auto" w:fill="auto"/>
            <w:noWrap/>
            <w:vAlign w:val="bottom"/>
            <w:hideMark/>
          </w:tcPr>
          <w:p w14:paraId="688A6548" w14:textId="77777777" w:rsidR="000156C7" w:rsidRPr="000156C7" w:rsidRDefault="000156C7" w:rsidP="0001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79" w:type="pct"/>
            <w:shd w:val="clear" w:color="auto" w:fill="auto"/>
            <w:noWrap/>
            <w:vAlign w:val="bottom"/>
            <w:hideMark/>
          </w:tcPr>
          <w:p w14:paraId="205C7478" w14:textId="59D081B6" w:rsidR="000156C7" w:rsidRPr="000156C7" w:rsidRDefault="0065396D" w:rsidP="00653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5396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196643BD" w14:textId="77777777" w:rsidR="00AB5263" w:rsidRDefault="00AB5263"/>
    <w:sectPr w:rsidR="00AB5263" w:rsidSect="00A22A70">
      <w:headerReference w:type="default" r:id="rId6"/>
      <w:pgSz w:w="16838" w:h="11906" w:orient="landscape"/>
      <w:pgMar w:top="567" w:right="1134" w:bottom="567" w:left="1134" w:header="709" w:footer="709" w:gutter="0"/>
      <w:pgNumType w:start="5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6E702" w14:textId="77777777" w:rsidR="000156C7" w:rsidRDefault="000156C7" w:rsidP="000156C7">
      <w:pPr>
        <w:spacing w:after="0" w:line="240" w:lineRule="auto"/>
      </w:pPr>
      <w:r>
        <w:separator/>
      </w:r>
    </w:p>
  </w:endnote>
  <w:endnote w:type="continuationSeparator" w:id="0">
    <w:p w14:paraId="562E3477" w14:textId="77777777" w:rsidR="000156C7" w:rsidRDefault="000156C7" w:rsidP="00015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83A93" w14:textId="77777777" w:rsidR="000156C7" w:rsidRDefault="000156C7" w:rsidP="000156C7">
      <w:pPr>
        <w:spacing w:after="0" w:line="240" w:lineRule="auto"/>
      </w:pPr>
      <w:r>
        <w:separator/>
      </w:r>
    </w:p>
  </w:footnote>
  <w:footnote w:type="continuationSeparator" w:id="0">
    <w:p w14:paraId="28E98859" w14:textId="77777777" w:rsidR="000156C7" w:rsidRDefault="000156C7" w:rsidP="00015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94153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8D24A31" w14:textId="364785D6" w:rsidR="00C86967" w:rsidRPr="00C86967" w:rsidRDefault="00C86967">
        <w:pPr>
          <w:pStyle w:val="ac"/>
          <w:jc w:val="center"/>
          <w:rPr>
            <w:rFonts w:ascii="Times New Roman" w:hAnsi="Times New Roman" w:cs="Times New Roman"/>
          </w:rPr>
        </w:pPr>
        <w:r w:rsidRPr="00C86967">
          <w:rPr>
            <w:rFonts w:ascii="Times New Roman" w:hAnsi="Times New Roman" w:cs="Times New Roman"/>
          </w:rPr>
          <w:fldChar w:fldCharType="begin"/>
        </w:r>
        <w:r w:rsidRPr="00C86967">
          <w:rPr>
            <w:rFonts w:ascii="Times New Roman" w:hAnsi="Times New Roman" w:cs="Times New Roman"/>
          </w:rPr>
          <w:instrText>PAGE   \* MERGEFORMAT</w:instrText>
        </w:r>
        <w:r w:rsidRPr="00C86967">
          <w:rPr>
            <w:rFonts w:ascii="Times New Roman" w:hAnsi="Times New Roman" w:cs="Times New Roman"/>
          </w:rPr>
          <w:fldChar w:fldCharType="separate"/>
        </w:r>
        <w:r w:rsidR="00A22A70">
          <w:rPr>
            <w:rFonts w:ascii="Times New Roman" w:hAnsi="Times New Roman" w:cs="Times New Roman"/>
            <w:noProof/>
          </w:rPr>
          <w:t>573</w:t>
        </w:r>
        <w:r w:rsidRPr="00C86967">
          <w:rPr>
            <w:rFonts w:ascii="Times New Roman" w:hAnsi="Times New Roman" w:cs="Times New Roman"/>
          </w:rPr>
          <w:fldChar w:fldCharType="end"/>
        </w:r>
      </w:p>
    </w:sdtContent>
  </w:sdt>
  <w:p w14:paraId="0CBCD25D" w14:textId="77777777" w:rsidR="00C86967" w:rsidRDefault="00C86967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6C7"/>
    <w:rsid w:val="000156C7"/>
    <w:rsid w:val="000A6A62"/>
    <w:rsid w:val="00214852"/>
    <w:rsid w:val="0022669E"/>
    <w:rsid w:val="00244379"/>
    <w:rsid w:val="00293B23"/>
    <w:rsid w:val="003450FB"/>
    <w:rsid w:val="0037404C"/>
    <w:rsid w:val="004404E7"/>
    <w:rsid w:val="00573C30"/>
    <w:rsid w:val="00575635"/>
    <w:rsid w:val="0065396D"/>
    <w:rsid w:val="00754337"/>
    <w:rsid w:val="007569EA"/>
    <w:rsid w:val="00773462"/>
    <w:rsid w:val="007C53E2"/>
    <w:rsid w:val="00877E35"/>
    <w:rsid w:val="00A22A70"/>
    <w:rsid w:val="00AB5263"/>
    <w:rsid w:val="00C34799"/>
    <w:rsid w:val="00C86967"/>
    <w:rsid w:val="00CA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1F9CB"/>
  <w15:chartTrackingRefBased/>
  <w15:docId w15:val="{AB313E92-B401-4458-B648-94F689500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156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56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56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6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56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56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56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56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56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56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156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156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156C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156C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156C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156C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156C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156C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156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156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156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156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156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156C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156C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156C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156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156C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156C7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0156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156C7"/>
  </w:style>
  <w:style w:type="paragraph" w:styleId="ae">
    <w:name w:val="footer"/>
    <w:basedOn w:val="a"/>
    <w:link w:val="af"/>
    <w:uiPriority w:val="99"/>
    <w:unhideWhenUsed/>
    <w:rsid w:val="000156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156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0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Garyaeva Zinaida</dc:creator>
  <cp:keywords/>
  <dc:description/>
  <cp:lastModifiedBy>Молько Анастасия Константиновна</cp:lastModifiedBy>
  <cp:revision>10</cp:revision>
  <dcterms:created xsi:type="dcterms:W3CDTF">2025-05-30T22:08:00Z</dcterms:created>
  <dcterms:modified xsi:type="dcterms:W3CDTF">2025-06-03T00:13:00Z</dcterms:modified>
</cp:coreProperties>
</file>