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Информация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об </w:t>
      </w:r>
      <w:r>
        <w:rPr>
          <w:rFonts w:ascii="Times New Roman" w:hAnsi="Times New Roman"/>
          <w:b w:val="1"/>
          <w:color w:themeColor="text1" w:val="000000"/>
          <w:sz w:val="28"/>
        </w:rPr>
        <w:t>обращениях</w:t>
      </w:r>
      <w:r>
        <w:rPr>
          <w:rFonts w:ascii="Times New Roman" w:hAnsi="Times New Roman"/>
          <w:b w:val="1"/>
          <w:color w:themeColor="text1" w:val="000000"/>
          <w:sz w:val="28"/>
        </w:rPr>
        <w:t>, поступивших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в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Аппарат Губернатора </w:t>
      </w:r>
      <w:r>
        <w:rPr>
          <w:rFonts w:ascii="Times New Roman" w:hAnsi="Times New Roman"/>
          <w:b w:val="1"/>
          <w:color w:themeColor="text1" w:val="000000"/>
          <w:sz w:val="28"/>
        </w:rPr>
        <w:br/>
      </w:r>
      <w:r>
        <w:rPr>
          <w:rFonts w:ascii="Times New Roman" w:hAnsi="Times New Roman"/>
          <w:b w:val="1"/>
          <w:color w:themeColor="text1" w:val="000000"/>
          <w:sz w:val="28"/>
        </w:rPr>
        <w:t>и Правительства Чукотского автономного округа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за </w:t>
      </w:r>
      <w:r>
        <w:rPr>
          <w:rFonts w:ascii="Times New Roman" w:hAnsi="Times New Roman"/>
          <w:b w:val="1"/>
          <w:color w:themeColor="text1" w:val="000000"/>
          <w:sz w:val="28"/>
        </w:rPr>
        <w:t>II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квартал и I полугодие  </w:t>
      </w:r>
      <w:r>
        <w:rPr>
          <w:rFonts w:ascii="Times New Roman" w:hAnsi="Times New Roman"/>
          <w:b w:val="1"/>
          <w:color w:themeColor="text1" w:val="000000"/>
          <w:sz w:val="28"/>
        </w:rPr>
        <w:t>202</w:t>
      </w: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год</w:t>
      </w:r>
      <w:r>
        <w:rPr>
          <w:rFonts w:ascii="Times New Roman" w:hAnsi="Times New Roman"/>
          <w:b w:val="1"/>
          <w:color w:themeColor="text1" w:val="000000"/>
          <w:sz w:val="28"/>
        </w:rPr>
        <w:t>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 </w:t>
      </w:r>
      <w:r>
        <w:rPr>
          <w:rFonts w:ascii="Times New Roman" w:hAnsi="Times New Roman"/>
          <w:color w:themeColor="text1" w:val="000000"/>
          <w:sz w:val="28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полугодие 2024 года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Аппарат </w:t>
      </w:r>
      <w:r>
        <w:rPr>
          <w:rFonts w:ascii="Times New Roman" w:hAnsi="Times New Roman"/>
          <w:color w:themeColor="text1" w:val="000000"/>
          <w:sz w:val="28"/>
        </w:rPr>
        <w:t xml:space="preserve">Губернатора и Правительства Чукотского автономного округа </w:t>
      </w:r>
      <w:r>
        <w:rPr>
          <w:rFonts w:ascii="Times New Roman" w:hAnsi="Times New Roman"/>
          <w:color w:themeColor="text1" w:val="000000"/>
          <w:sz w:val="28"/>
        </w:rPr>
        <w:t xml:space="preserve">(далее – Аппарат) </w:t>
      </w:r>
      <w:r>
        <w:rPr>
          <w:rFonts w:ascii="Times New Roman" w:hAnsi="Times New Roman"/>
          <w:color w:themeColor="text1" w:val="000000"/>
          <w:sz w:val="28"/>
        </w:rPr>
        <w:t>поступило</w:t>
      </w:r>
      <w:r>
        <w:rPr>
          <w:rFonts w:ascii="Times New Roman" w:hAnsi="Times New Roman"/>
          <w:color w:themeColor="text1" w:val="000000"/>
          <w:sz w:val="28"/>
        </w:rPr>
        <w:t xml:space="preserve"> 386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письменных обращений</w:t>
      </w:r>
      <w:r>
        <w:rPr>
          <w:rFonts w:ascii="Times New Roman" w:hAnsi="Times New Roman"/>
          <w:color w:themeColor="text1" w:val="000000"/>
          <w:sz w:val="28"/>
        </w:rPr>
        <w:t xml:space="preserve"> (в аналогичном периоде прошлого года </w:t>
      </w:r>
      <w:r>
        <w:rPr>
          <w:rFonts w:ascii="Times New Roman" w:hAnsi="Times New Roman"/>
          <w:color w:themeColor="text1" w:val="000000"/>
          <w:sz w:val="28"/>
        </w:rPr>
        <w:t>(далее – АППГ) 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503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в т.ч.: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квартал 2024 года – </w:t>
      </w:r>
      <w:r>
        <w:rPr>
          <w:rFonts w:ascii="Times New Roman" w:hAnsi="Times New Roman"/>
          <w:color w:themeColor="text1" w:val="000000"/>
          <w:sz w:val="28"/>
        </w:rPr>
        <w:t>224</w:t>
      </w:r>
      <w:r>
        <w:rPr>
          <w:rFonts w:ascii="Times New Roman" w:hAnsi="Times New Roman"/>
          <w:color w:themeColor="text1" w:val="000000"/>
          <w:sz w:val="28"/>
        </w:rPr>
        <w:t xml:space="preserve"> (АППГ - </w:t>
      </w:r>
      <w:r>
        <w:rPr>
          <w:rFonts w:ascii="Times New Roman" w:hAnsi="Times New Roman"/>
          <w:color w:themeColor="text1" w:val="000000"/>
          <w:sz w:val="28"/>
        </w:rPr>
        <w:t>277)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II</w:t>
      </w:r>
      <w:r>
        <w:rPr>
          <w:rFonts w:ascii="Times New Roman" w:hAnsi="Times New Roman"/>
          <w:color w:themeColor="text1" w:val="000000"/>
          <w:sz w:val="28"/>
        </w:rPr>
        <w:t xml:space="preserve"> квартал 2024 года –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162</w:t>
      </w:r>
      <w:r>
        <w:rPr>
          <w:rFonts w:ascii="Times New Roman" w:hAnsi="Times New Roman"/>
          <w:color w:themeColor="text1" w:val="000000"/>
          <w:sz w:val="28"/>
        </w:rPr>
        <w:t xml:space="preserve"> (АППГ -</w:t>
      </w:r>
      <w:r>
        <w:rPr>
          <w:rFonts w:ascii="Times New Roman" w:hAnsi="Times New Roman"/>
          <w:color w:themeColor="text1" w:val="000000"/>
          <w:sz w:val="28"/>
        </w:rPr>
        <w:t xml:space="preserve"> 226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Согласно Тематическо</w:t>
      </w:r>
      <w:r>
        <w:rPr>
          <w:rFonts w:ascii="Times New Roman" w:hAnsi="Times New Roman"/>
          <w:color w:themeColor="text1" w:val="000000"/>
          <w:sz w:val="28"/>
        </w:rPr>
        <w:t>му</w:t>
      </w:r>
      <w:r>
        <w:rPr>
          <w:rFonts w:ascii="Times New Roman" w:hAnsi="Times New Roman"/>
          <w:color w:themeColor="text1" w:val="000000"/>
          <w:sz w:val="28"/>
        </w:rPr>
        <w:t xml:space="preserve"> классификатору </w:t>
      </w:r>
      <w:r>
        <w:rPr>
          <w:rFonts w:ascii="Times New Roman" w:hAnsi="Times New Roman"/>
          <w:color w:themeColor="text1" w:val="000000"/>
          <w:sz w:val="28"/>
        </w:rPr>
        <w:t>обращений граждан Российской Федерации, иностранных граждан, лиц без гражданства, объединений граждан, в том числе юридических лиц,</w:t>
      </w:r>
      <w:r>
        <w:rPr>
          <w:rFonts w:ascii="Times New Roman" w:hAnsi="Times New Roman"/>
          <w:color w:themeColor="text1" w:val="000000"/>
          <w:sz w:val="28"/>
        </w:rPr>
        <w:t xml:space="preserve"> из 386 письменных обращений</w:t>
      </w:r>
      <w:r>
        <w:rPr>
          <w:rFonts w:ascii="Times New Roman" w:hAnsi="Times New Roman"/>
          <w:color w:themeColor="text1" w:val="000000"/>
          <w:sz w:val="28"/>
        </w:rPr>
        <w:t xml:space="preserve"> относятся к разделу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09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«Оборона, безопасность, законность» - </w:t>
      </w:r>
      <w:r>
        <w:rPr>
          <w:rFonts w:ascii="Times New Roman" w:hAnsi="Times New Roman"/>
          <w:color w:themeColor="text1" w:val="000000"/>
          <w:sz w:val="28"/>
        </w:rPr>
        <w:t xml:space="preserve">50 </w:t>
      </w:r>
      <w:r>
        <w:rPr>
          <w:rFonts w:ascii="Times New Roman" w:hAnsi="Times New Roman"/>
          <w:color w:themeColor="text1" w:val="000000"/>
          <w:sz w:val="28"/>
        </w:rPr>
        <w:t xml:space="preserve"> (АППГ – </w:t>
      </w:r>
      <w:r>
        <w:rPr>
          <w:rFonts w:ascii="Times New Roman" w:hAnsi="Times New Roman"/>
          <w:color w:themeColor="text1" w:val="000000"/>
          <w:sz w:val="28"/>
        </w:rPr>
        <w:t>83);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 «Экономика» -   42 </w:t>
      </w:r>
      <w:r>
        <w:rPr>
          <w:rFonts w:ascii="Times New Roman" w:hAnsi="Times New Roman"/>
          <w:color w:themeColor="text1" w:val="000000"/>
          <w:sz w:val="28"/>
        </w:rPr>
        <w:t xml:space="preserve"> (АППГ - </w:t>
      </w:r>
      <w:r>
        <w:rPr>
          <w:rFonts w:ascii="Times New Roman" w:hAnsi="Times New Roman"/>
          <w:color w:themeColor="text1" w:val="000000"/>
          <w:sz w:val="28"/>
        </w:rPr>
        <w:t>39)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«Государство, общество, политика» -  29 </w:t>
      </w:r>
      <w:r>
        <w:rPr>
          <w:rFonts w:ascii="Times New Roman" w:hAnsi="Times New Roman"/>
          <w:color w:themeColor="text1" w:val="000000"/>
          <w:sz w:val="28"/>
        </w:rPr>
        <w:t xml:space="preserve"> (АППГ - </w:t>
      </w:r>
      <w:r>
        <w:rPr>
          <w:rFonts w:ascii="Times New Roman" w:hAnsi="Times New Roman"/>
          <w:color w:themeColor="text1" w:val="000000"/>
          <w:sz w:val="28"/>
        </w:rPr>
        <w:t>38);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«Социальная сфера» -  28 </w:t>
      </w:r>
      <w:r>
        <w:rPr>
          <w:rFonts w:ascii="Times New Roman" w:hAnsi="Times New Roman"/>
          <w:color w:themeColor="text1" w:val="000000"/>
          <w:sz w:val="28"/>
        </w:rPr>
        <w:t xml:space="preserve">(АППГ – </w:t>
      </w:r>
      <w:r>
        <w:rPr>
          <w:rFonts w:ascii="Times New Roman" w:hAnsi="Times New Roman"/>
          <w:color w:themeColor="text1" w:val="000000"/>
          <w:sz w:val="28"/>
        </w:rPr>
        <w:t>42);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«Жилищно-коммунальная сфера»</w:t>
      </w:r>
      <w:r>
        <w:rPr>
          <w:rFonts w:ascii="Times New Roman" w:hAnsi="Times New Roman"/>
          <w:color w:themeColor="text1" w:val="000000"/>
          <w:sz w:val="28"/>
        </w:rPr>
        <w:t xml:space="preserve"> -</w:t>
      </w:r>
      <w:r>
        <w:rPr>
          <w:rFonts w:ascii="Times New Roman" w:hAnsi="Times New Roman"/>
          <w:color w:themeColor="text1" w:val="000000"/>
          <w:sz w:val="28"/>
        </w:rPr>
        <w:t xml:space="preserve">  13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(АП</w:t>
      </w:r>
      <w:r>
        <w:rPr>
          <w:rFonts w:ascii="Times New Roman" w:hAnsi="Times New Roman"/>
          <w:color w:themeColor="text1" w:val="000000"/>
          <w:sz w:val="28"/>
        </w:rPr>
        <w:t>ПГ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24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0F000000">
      <w:pPr>
        <w:tabs>
          <w:tab w:leader="none" w:pos="720" w:val="left"/>
        </w:tabs>
        <w:spacing w:after="0" w:line="240" w:lineRule="auto"/>
        <w:ind w:firstLine="284" w:left="0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1"/>
        <w:tblLayout w:type="fixed"/>
        <w:tblCellMar>
          <w:left w:type="dxa" w:w="40"/>
          <w:right w:type="dxa" w:w="40"/>
        </w:tblCellMar>
      </w:tblPr>
      <w:tblGrid>
        <w:gridCol w:w="1041"/>
        <w:gridCol w:w="4326"/>
        <w:gridCol w:w="1399"/>
        <w:gridCol w:w="1399"/>
        <w:gridCol w:w="1399"/>
      </w:tblGrid>
      <w:tr>
        <w:trPr>
          <w:trHeight w:hRule="atLeast" w:val="42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№ п/п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Раздел/подраздел согласно Тематическому классификатору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обращений граждан Российской Федерации, иностранных граждан, лиц без гражданства, объединений граждан, в том числе юридических лиц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40"/>
              <w:right w:type="dxa" w:w="4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квартал 202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г.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40"/>
              <w:right w:type="dxa" w:w="40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квартал 202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г.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40"/>
              <w:right w:type="dxa" w:w="40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Динамика по сравнению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 АППГ</w:t>
            </w:r>
          </w:p>
        </w:tc>
      </w:tr>
      <w:tr>
        <w:trPr>
          <w:trHeight w:hRule="atLeast" w:val="331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Государство, общество, политика: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-9</w:t>
            </w:r>
          </w:p>
        </w:tc>
      </w:tr>
      <w:tr>
        <w:trPr>
          <w:trHeight w:hRule="atLeast" w:val="369"/>
        </w:trPr>
        <w:tc>
          <w:tcPr>
            <w:tcW w:type="dxa" w:w="10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3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Конституционный строй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</w:t>
            </w:r>
          </w:p>
        </w:tc>
      </w:tr>
      <w:tr>
        <w:trPr>
          <w:trHeight w:hRule="atLeast" w:val="290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Основы государственного управления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-7</w:t>
            </w:r>
          </w:p>
        </w:tc>
      </w:tr>
      <w:tr>
        <w:trPr>
          <w:trHeight w:hRule="atLeast" w:val="328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Международные отношения. Международное право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Гражданское право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</w:t>
            </w:r>
          </w:p>
        </w:tc>
      </w:tr>
      <w:tr>
        <w:trPr>
          <w:trHeight w:hRule="atLeast" w:val="567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314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Социальная сфера: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-14</w:t>
            </w:r>
          </w:p>
        </w:tc>
      </w:tr>
      <w:tr>
        <w:trPr>
          <w:trHeight w:hRule="atLeast" w:val="28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Семья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</w:t>
            </w:r>
          </w:p>
        </w:tc>
      </w:tr>
      <w:tr>
        <w:trPr>
          <w:trHeight w:hRule="atLeast" w:val="30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Труд и занятость населения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Социальное обеспечение и социальное страхование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-8</w:t>
            </w:r>
          </w:p>
        </w:tc>
      </w:tr>
      <w:tr>
        <w:trPr>
          <w:trHeight w:hRule="atLeast" w:val="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Образование. Наука. Культура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</w:t>
            </w:r>
          </w:p>
        </w:tc>
      </w:tr>
      <w:tr>
        <w:trPr>
          <w:trHeight w:hRule="atLeast" w:val="336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Здравоохранение. Физическая культура и спорт. Туризм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</w:t>
            </w:r>
          </w:p>
        </w:tc>
      </w:tr>
      <w:tr>
        <w:trPr>
          <w:trHeight w:hRule="atLeast" w:val="3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Экономика: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</w:t>
            </w:r>
          </w:p>
        </w:tc>
      </w:tr>
      <w:tr>
        <w:trPr>
          <w:trHeight w:hRule="atLeast" w:val="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Финансы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27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Хозяйственная деятельность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</w:t>
            </w:r>
          </w:p>
        </w:tc>
      </w:tr>
      <w:tr>
        <w:trPr>
          <w:trHeight w:hRule="atLeast" w:val="298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Внешнеэкономическая деятельность. 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Таможенное дело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Природные ресурсы и охрана окружающей среды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</w:t>
            </w:r>
          </w:p>
        </w:tc>
      </w:tr>
      <w:tr>
        <w:trPr>
          <w:trHeight w:hRule="atLeast" w:val="349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Информация и информатизация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3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Оборона, безопасность, законность: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-33</w:t>
            </w:r>
          </w:p>
        </w:tc>
      </w:tr>
      <w:tr>
        <w:trPr>
          <w:trHeight w:hRule="atLeast" w:val="190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Оборона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-18</w:t>
            </w:r>
          </w:p>
        </w:tc>
      </w:tr>
      <w:tr>
        <w:trPr>
          <w:trHeight w:hRule="atLeast" w:val="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Безопасность и охрана правопорядка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-9</w:t>
            </w:r>
          </w:p>
        </w:tc>
      </w:tr>
      <w:tr>
        <w:trPr>
          <w:trHeight w:hRule="atLeast" w:val="33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Уголовное право. Исполнение наказаний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</w:t>
            </w:r>
          </w:p>
        </w:tc>
      </w:tr>
      <w:tr>
        <w:trPr>
          <w:trHeight w:hRule="atLeast" w:val="45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Правосудие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310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Прокуратура. Органы юстиции. Адвокатура. Нотариат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8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</w:t>
            </w:r>
          </w:p>
        </w:tc>
      </w:tr>
      <w:tr>
        <w:trPr>
          <w:trHeight w:hRule="atLeast" w:val="33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V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Жилищно-коммунальная сфера: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-11</w:t>
            </w:r>
          </w:p>
        </w:tc>
      </w:tr>
      <w:tr>
        <w:trPr>
          <w:trHeight w:hRule="atLeast" w:val="332"/>
        </w:trPr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Жилище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139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-11</w:t>
            </w:r>
          </w:p>
        </w:tc>
      </w:tr>
    </w:tbl>
    <w:p w14:paraId="98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0"/>
          <w:sz w:val="28"/>
        </w:rPr>
      </w:pP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отчетном периоде </w:t>
      </w:r>
      <w:r>
        <w:rPr>
          <w:rFonts w:ascii="Times New Roman" w:hAnsi="Times New Roman"/>
          <w:color w:themeColor="text1" w:val="000000"/>
          <w:sz w:val="28"/>
        </w:rPr>
        <w:t xml:space="preserve">от граждан округа поступило </w:t>
      </w:r>
      <w:r>
        <w:rPr>
          <w:rFonts w:ascii="Times New Roman" w:hAnsi="Times New Roman"/>
          <w:color w:themeColor="text1" w:val="000000"/>
          <w:sz w:val="28"/>
        </w:rPr>
        <w:t xml:space="preserve"> 82 </w:t>
      </w:r>
      <w:r>
        <w:rPr>
          <w:rFonts w:ascii="Times New Roman" w:hAnsi="Times New Roman"/>
          <w:color w:themeColor="text1" w:val="000000"/>
          <w:sz w:val="28"/>
        </w:rPr>
        <w:t xml:space="preserve">письменных </w:t>
      </w:r>
      <w:r>
        <w:rPr>
          <w:rFonts w:ascii="Times New Roman" w:hAnsi="Times New Roman"/>
          <w:color w:themeColor="text1" w:val="000000"/>
          <w:sz w:val="28"/>
        </w:rPr>
        <w:t>обращен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я (АППГ </w:t>
      </w:r>
      <w:r>
        <w:rPr>
          <w:rFonts w:ascii="Times New Roman" w:hAnsi="Times New Roman"/>
          <w:color w:themeColor="text1" w:val="000000"/>
          <w:sz w:val="28"/>
        </w:rPr>
        <w:t>– 113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5245"/>
        <w:gridCol w:w="1509"/>
        <w:gridCol w:w="1509"/>
        <w:gridCol w:w="1520"/>
      </w:tblGrid>
      <w:tr>
        <w:tc>
          <w:tcPr>
            <w:tcW w:type="dxa" w:w="5245"/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</w:p>
        </w:tc>
        <w:tc>
          <w:tcPr>
            <w:tcW w:type="dxa" w:w="1509"/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квартал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г.</w:t>
            </w:r>
          </w:p>
        </w:tc>
        <w:tc>
          <w:tcPr>
            <w:tcW w:type="dxa" w:w="1509"/>
          </w:tcPr>
          <w:p w14:paraId="9D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квартал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г.</w:t>
            </w:r>
          </w:p>
        </w:tc>
        <w:tc>
          <w:tcPr>
            <w:tcW w:type="dxa" w:w="1520"/>
          </w:tcPr>
          <w:p w14:paraId="9E00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Динамика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по сравнению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 АППГ</w:t>
            </w:r>
          </w:p>
        </w:tc>
      </w:tr>
      <w:tr>
        <w:trPr>
          <w:trHeight w:hRule="atLeast" w:val="60"/>
        </w:trPr>
        <w:tc>
          <w:tcPr>
            <w:tcW w:type="dxa" w:w="5245"/>
          </w:tcPr>
          <w:p w14:paraId="9F000000">
            <w:pPr>
              <w:tabs>
                <w:tab w:leader="none" w:pos="720" w:val="left"/>
              </w:tabs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Анадырь</w:t>
            </w:r>
          </w:p>
        </w:tc>
        <w:tc>
          <w:tcPr>
            <w:tcW w:type="dxa" w:w="1509"/>
          </w:tcPr>
          <w:p w14:paraId="A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1509"/>
          </w:tcPr>
          <w:p w14:paraId="A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type="dxa" w:w="1520"/>
          </w:tcPr>
          <w:p w14:paraId="A200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-29</w:t>
            </w:r>
          </w:p>
        </w:tc>
      </w:tr>
      <w:tr>
        <w:trPr>
          <w:trHeight w:hRule="atLeast" w:val="60"/>
        </w:trPr>
        <w:tc>
          <w:tcPr>
            <w:tcW w:type="dxa" w:w="5245"/>
          </w:tcPr>
          <w:p w14:paraId="A3000000">
            <w:pPr>
              <w:tabs>
                <w:tab w:leader="none" w:pos="720" w:val="left"/>
              </w:tabs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Анадырский муниципальный район</w:t>
            </w:r>
          </w:p>
        </w:tc>
        <w:tc>
          <w:tcPr>
            <w:tcW w:type="dxa" w:w="1509"/>
          </w:tcPr>
          <w:p w14:paraId="A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509"/>
          </w:tcPr>
          <w:p w14:paraId="A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520"/>
          </w:tcPr>
          <w:p w14:paraId="A600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+1</w:t>
            </w:r>
          </w:p>
        </w:tc>
      </w:tr>
      <w:tr>
        <w:trPr>
          <w:trHeight w:hRule="atLeast" w:val="60"/>
        </w:trPr>
        <w:tc>
          <w:tcPr>
            <w:tcW w:type="dxa" w:w="5245"/>
          </w:tcPr>
          <w:p w14:paraId="A7000000">
            <w:pPr>
              <w:tabs>
                <w:tab w:leader="none" w:pos="720" w:val="left"/>
              </w:tabs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Билибинский муниципальный район</w:t>
            </w:r>
          </w:p>
        </w:tc>
        <w:tc>
          <w:tcPr>
            <w:tcW w:type="dxa" w:w="1509"/>
          </w:tcPr>
          <w:p w14:paraId="A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509"/>
          </w:tcPr>
          <w:p w14:paraId="A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520"/>
          </w:tcPr>
          <w:p w14:paraId="AA00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-9</w:t>
            </w:r>
          </w:p>
        </w:tc>
      </w:tr>
      <w:tr>
        <w:trPr>
          <w:trHeight w:hRule="atLeast" w:val="60"/>
        </w:trPr>
        <w:tc>
          <w:tcPr>
            <w:tcW w:type="dxa" w:w="5245"/>
            <w:vAlign w:val="center"/>
          </w:tcPr>
          <w:p w14:paraId="AB000000">
            <w:pPr>
              <w:tabs>
                <w:tab w:leader="none" w:pos="720" w:val="left"/>
              </w:tabs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Эгвекинот</w:t>
            </w:r>
          </w:p>
        </w:tc>
        <w:tc>
          <w:tcPr>
            <w:tcW w:type="dxa" w:w="1509"/>
          </w:tcPr>
          <w:p w14:paraId="A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509"/>
          </w:tcPr>
          <w:p w14:paraId="A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20"/>
          </w:tcPr>
          <w:p w14:paraId="A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</w:t>
            </w:r>
          </w:p>
        </w:tc>
      </w:tr>
      <w:tr>
        <w:trPr>
          <w:trHeight w:hRule="atLeast" w:val="60"/>
        </w:trPr>
        <w:tc>
          <w:tcPr>
            <w:tcW w:type="dxa" w:w="5245"/>
            <w:vAlign w:val="center"/>
          </w:tcPr>
          <w:p w14:paraId="AF000000">
            <w:pPr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Провиденский городской округ</w:t>
            </w:r>
          </w:p>
        </w:tc>
        <w:tc>
          <w:tcPr>
            <w:tcW w:type="dxa" w:w="1509"/>
          </w:tcPr>
          <w:p w14:paraId="B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509"/>
          </w:tcPr>
          <w:p w14:paraId="B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20"/>
          </w:tcPr>
          <w:p w14:paraId="B200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-2</w:t>
            </w:r>
          </w:p>
        </w:tc>
      </w:tr>
      <w:tr>
        <w:trPr>
          <w:trHeight w:hRule="atLeast" w:val="60"/>
        </w:trPr>
        <w:tc>
          <w:tcPr>
            <w:tcW w:type="dxa" w:w="5245"/>
            <w:vAlign w:val="center"/>
          </w:tcPr>
          <w:p w14:paraId="B3000000">
            <w:pPr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Певек</w:t>
            </w:r>
          </w:p>
        </w:tc>
        <w:tc>
          <w:tcPr>
            <w:tcW w:type="dxa" w:w="1509"/>
          </w:tcPr>
          <w:p w14:paraId="B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09"/>
          </w:tcPr>
          <w:p w14:paraId="B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20"/>
          </w:tcPr>
          <w:p w14:paraId="B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</w:t>
            </w:r>
          </w:p>
        </w:tc>
      </w:tr>
      <w:tr>
        <w:trPr>
          <w:trHeight w:hRule="atLeast" w:val="60"/>
        </w:trPr>
        <w:tc>
          <w:tcPr>
            <w:tcW w:type="dxa" w:w="5245"/>
            <w:vAlign w:val="center"/>
          </w:tcPr>
          <w:p w14:paraId="B7000000">
            <w:pPr>
              <w:ind w:firstLine="319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Чукотский муниципальный район</w:t>
            </w:r>
          </w:p>
        </w:tc>
        <w:tc>
          <w:tcPr>
            <w:tcW w:type="dxa" w:w="1509"/>
          </w:tcPr>
          <w:p w14:paraId="B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09"/>
          </w:tcPr>
          <w:p w14:paraId="B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20"/>
          </w:tcPr>
          <w:p w14:paraId="B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BC000000">
      <w:pPr>
        <w:tabs>
          <w:tab w:leader="none" w:pos="540" w:val="left"/>
          <w:tab w:leader="none" w:pos="7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 обращения </w:t>
      </w:r>
      <w:r>
        <w:rPr>
          <w:rFonts w:ascii="Times New Roman" w:hAnsi="Times New Roman"/>
          <w:color w:themeColor="text1" w:val="000000"/>
          <w:sz w:val="28"/>
        </w:rPr>
        <w:t xml:space="preserve">органами власти </w:t>
      </w:r>
      <w:r>
        <w:rPr>
          <w:rFonts w:ascii="Times New Roman" w:hAnsi="Times New Roman"/>
          <w:color w:themeColor="text1" w:val="000000"/>
          <w:sz w:val="28"/>
        </w:rPr>
        <w:t>рассмотрены</w:t>
      </w:r>
      <w:r>
        <w:rPr>
          <w:rFonts w:ascii="Times New Roman" w:hAnsi="Times New Roman"/>
          <w:color w:themeColor="text1" w:val="000000"/>
          <w:sz w:val="28"/>
        </w:rPr>
        <w:t xml:space="preserve"> в соответствии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с требованиями </w:t>
      </w:r>
      <w:r>
        <w:rPr>
          <w:rFonts w:ascii="Times New Roman" w:hAnsi="Times New Roman"/>
          <w:sz w:val="28"/>
        </w:rPr>
        <w:t>Федерального закона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</w:rPr>
        <w:t>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Кроме того, з</w:t>
      </w:r>
      <w:r>
        <w:rPr>
          <w:rFonts w:ascii="Times New Roman" w:hAnsi="Times New Roman"/>
          <w:color w:themeColor="text1" w:val="000000"/>
          <w:sz w:val="28"/>
        </w:rPr>
        <w:t xml:space="preserve">а </w:t>
      </w:r>
      <w:r>
        <w:rPr>
          <w:rFonts w:ascii="Times New Roman" w:hAnsi="Times New Roman"/>
          <w:color w:themeColor="text1" w:val="000000"/>
          <w:sz w:val="28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полугодие 2024 года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</w:t>
      </w:r>
      <w:r>
        <w:rPr>
          <w:rFonts w:ascii="Times New Roman" w:hAnsi="Times New Roman"/>
          <w:color w:themeColor="text1" w:val="000000"/>
          <w:sz w:val="28"/>
        </w:rPr>
        <w:t xml:space="preserve"> телефон «открытой линии» </w:t>
      </w:r>
      <w:r>
        <w:rPr>
          <w:rFonts w:ascii="Times New Roman" w:hAnsi="Times New Roman"/>
          <w:color w:themeColor="text1" w:val="000000"/>
          <w:sz w:val="28"/>
        </w:rPr>
        <w:t xml:space="preserve">Аппарата </w:t>
      </w:r>
      <w:r>
        <w:rPr>
          <w:rFonts w:ascii="Times New Roman" w:hAnsi="Times New Roman"/>
          <w:color w:themeColor="text1" w:val="000000"/>
          <w:sz w:val="28"/>
        </w:rPr>
        <w:t xml:space="preserve">поступило   </w:t>
      </w:r>
      <w:r>
        <w:rPr>
          <w:rFonts w:ascii="Times New Roman" w:hAnsi="Times New Roman"/>
          <w:color w:themeColor="text1" w:val="000000"/>
          <w:sz w:val="28"/>
        </w:rPr>
        <w:t>396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устных</w:t>
      </w:r>
      <w:r>
        <w:rPr>
          <w:rFonts w:ascii="Times New Roman" w:hAnsi="Times New Roman"/>
          <w:color w:themeColor="text1" w:val="000000"/>
          <w:sz w:val="28"/>
        </w:rPr>
        <w:t xml:space="preserve"> обращен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й</w:t>
      </w:r>
      <w:r>
        <w:rPr>
          <w:rFonts w:ascii="Times New Roman" w:hAnsi="Times New Roman"/>
          <w:color w:themeColor="text1" w:val="000000"/>
          <w:sz w:val="28"/>
        </w:rPr>
        <w:t xml:space="preserve"> (АППГ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477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т.ч.: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I</w:t>
      </w:r>
      <w:r>
        <w:rPr>
          <w:rFonts w:ascii="Times New Roman" w:hAnsi="Times New Roman"/>
          <w:color w:themeColor="text1" w:val="000000"/>
          <w:sz w:val="28"/>
        </w:rPr>
        <w:t xml:space="preserve"> квартал 2024 года – </w:t>
      </w:r>
      <w:r>
        <w:rPr>
          <w:rFonts w:ascii="Times New Roman" w:hAnsi="Times New Roman"/>
          <w:color w:themeColor="text1" w:val="000000"/>
          <w:sz w:val="28"/>
        </w:rPr>
        <w:t xml:space="preserve"> 205 (АППГ - </w:t>
      </w:r>
      <w:r>
        <w:rPr>
          <w:rFonts w:ascii="Times New Roman" w:hAnsi="Times New Roman"/>
          <w:color w:themeColor="text1" w:val="000000"/>
          <w:sz w:val="28"/>
        </w:rPr>
        <w:t>216)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II</w:t>
      </w:r>
      <w:r>
        <w:rPr>
          <w:rFonts w:ascii="Times New Roman" w:hAnsi="Times New Roman"/>
          <w:color w:themeColor="text1" w:val="000000"/>
          <w:sz w:val="28"/>
        </w:rPr>
        <w:t xml:space="preserve"> квартал 2024 года – </w:t>
      </w:r>
      <w:r>
        <w:rPr>
          <w:rFonts w:ascii="Times New Roman" w:hAnsi="Times New Roman"/>
          <w:color w:themeColor="text1" w:val="000000"/>
          <w:sz w:val="28"/>
        </w:rPr>
        <w:t xml:space="preserve"> 191 (АППГ -</w:t>
      </w:r>
      <w:r>
        <w:rPr>
          <w:rFonts w:ascii="Times New Roman" w:hAnsi="Times New Roman"/>
          <w:color w:themeColor="text1" w:val="000000"/>
          <w:sz w:val="28"/>
        </w:rPr>
        <w:t xml:space="preserve"> 261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Согласно Тематическо</w:t>
      </w:r>
      <w:r>
        <w:rPr>
          <w:rFonts w:ascii="Times New Roman" w:hAnsi="Times New Roman"/>
          <w:color w:themeColor="text1" w:val="000000"/>
          <w:sz w:val="28"/>
        </w:rPr>
        <w:t>му</w:t>
      </w:r>
      <w:r>
        <w:rPr>
          <w:rFonts w:ascii="Times New Roman" w:hAnsi="Times New Roman"/>
          <w:color w:themeColor="text1" w:val="000000"/>
          <w:sz w:val="28"/>
        </w:rPr>
        <w:t xml:space="preserve"> классификатору </w:t>
      </w:r>
      <w:r>
        <w:rPr>
          <w:rFonts w:ascii="Times New Roman" w:hAnsi="Times New Roman"/>
          <w:color w:themeColor="text1" w:val="000000"/>
          <w:sz w:val="28"/>
        </w:rPr>
        <w:t xml:space="preserve">обращений граждан Российской Федерации, иностранных граждан, лиц без гражданства, объединений граждан,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том числе юридических лиц, из 396 устных обращений</w:t>
      </w:r>
      <w:r>
        <w:rPr>
          <w:rFonts w:ascii="Times New Roman" w:hAnsi="Times New Roman"/>
          <w:color w:themeColor="text1" w:val="000000"/>
          <w:sz w:val="28"/>
        </w:rPr>
        <w:t xml:space="preserve"> относятся к разделу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«Экономика» -   100 </w:t>
      </w:r>
      <w:r>
        <w:rPr>
          <w:rFonts w:ascii="Times New Roman" w:hAnsi="Times New Roman"/>
          <w:color w:themeColor="text1" w:val="000000"/>
          <w:sz w:val="28"/>
        </w:rPr>
        <w:t xml:space="preserve"> (АППГ - </w:t>
      </w:r>
      <w:r>
        <w:rPr>
          <w:rFonts w:ascii="Times New Roman" w:hAnsi="Times New Roman"/>
          <w:color w:themeColor="text1" w:val="000000"/>
          <w:sz w:val="28"/>
        </w:rPr>
        <w:t>127);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«Социальная сфера» </w:t>
      </w: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58  (АППГ </w:t>
      </w:r>
      <w:r>
        <w:rPr>
          <w:rFonts w:ascii="Times New Roman" w:hAnsi="Times New Roman"/>
          <w:color w:themeColor="text1" w:val="000000"/>
          <w:sz w:val="28"/>
        </w:rPr>
        <w:t xml:space="preserve">– </w:t>
      </w:r>
      <w:r>
        <w:rPr>
          <w:rFonts w:ascii="Times New Roman" w:hAnsi="Times New Roman"/>
          <w:color w:themeColor="text1" w:val="000000"/>
          <w:sz w:val="28"/>
        </w:rPr>
        <w:t>67</w:t>
      </w:r>
      <w:r>
        <w:rPr>
          <w:rFonts w:ascii="Times New Roman" w:hAnsi="Times New Roman"/>
          <w:color w:themeColor="text1" w:val="000000"/>
          <w:sz w:val="28"/>
        </w:rPr>
        <w:t>);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«Жилищно-коммунальная сфера» -  29 </w:t>
      </w:r>
      <w:r>
        <w:rPr>
          <w:rFonts w:ascii="Times New Roman" w:hAnsi="Times New Roman"/>
          <w:color w:themeColor="text1" w:val="000000"/>
          <w:sz w:val="28"/>
        </w:rPr>
        <w:t xml:space="preserve"> (АППГ -  </w:t>
      </w:r>
      <w:r>
        <w:rPr>
          <w:rFonts w:ascii="Times New Roman" w:hAnsi="Times New Roman"/>
          <w:color w:themeColor="text1" w:val="000000"/>
          <w:sz w:val="28"/>
        </w:rPr>
        <w:t>42);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«Государство, общество, политика» -  4 </w:t>
      </w:r>
      <w:r>
        <w:rPr>
          <w:rFonts w:ascii="Times New Roman" w:hAnsi="Times New Roman"/>
          <w:color w:themeColor="text1" w:val="000000"/>
          <w:sz w:val="28"/>
        </w:rPr>
        <w:t xml:space="preserve"> (АППГ -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19</w:t>
      </w:r>
      <w:r>
        <w:rPr>
          <w:rFonts w:ascii="Times New Roman" w:hAnsi="Times New Roman"/>
          <w:color w:themeColor="text1" w:val="000000"/>
          <w:sz w:val="28"/>
        </w:rPr>
        <w:t>);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«Оборона, безопасность, законность» - </w:t>
      </w:r>
      <w:r>
        <w:rPr>
          <w:rFonts w:ascii="Times New Roman" w:hAnsi="Times New Roman"/>
          <w:color w:themeColor="text1" w:val="000000"/>
          <w:sz w:val="28"/>
        </w:rPr>
        <w:t xml:space="preserve"> 0 </w:t>
      </w: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color w:themeColor="text1" w:val="000000"/>
          <w:sz w:val="28"/>
        </w:rPr>
        <w:t>АП</w:t>
      </w:r>
      <w:r>
        <w:rPr>
          <w:rFonts w:ascii="Times New Roman" w:hAnsi="Times New Roman"/>
          <w:color w:themeColor="text1" w:val="000000"/>
          <w:sz w:val="28"/>
        </w:rPr>
        <w:t>ПГ -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1"/>
        <w:tblLayout w:type="fixed"/>
        <w:tblCellMar>
          <w:left w:type="dxa" w:w="40"/>
          <w:right w:type="dxa" w:w="40"/>
        </w:tblCellMar>
      </w:tblPr>
      <w:tblGrid>
        <w:gridCol w:w="992"/>
        <w:gridCol w:w="4536"/>
        <w:gridCol w:w="1513"/>
        <w:gridCol w:w="1465"/>
        <w:gridCol w:w="1229"/>
      </w:tblGrid>
      <w:tr>
        <w:trPr>
          <w:trHeight w:hRule="atLeast" w:val="338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№ п/п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Раздел/подраздел согласно Тематическому классификатору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обращений граждан Российской Федерации, иностранных граждан, лиц без гражданства, объединений граждан,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в том числе юридических лиц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квартал 202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г.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квартал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г.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Динамика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по сравнению</w:t>
            </w: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с АППГ</w:t>
            </w:r>
          </w:p>
        </w:tc>
      </w:tr>
      <w:tr>
        <w:trPr>
          <w:trHeight w:hRule="atLeast" w:val="45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themeFill="background1" w:themeFillShade="D9" w:val="clear"/>
            <w:tcMar>
              <w:left w:type="dxa" w:w="40"/>
              <w:right w:type="dxa" w:w="40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themeFill="background1" w:themeFillShade="D9" w:val="clear"/>
            <w:tcMar>
              <w:left w:type="dxa" w:w="40"/>
              <w:right w:type="dxa" w:w="40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Государство, общество, политика: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D9" w:val="clear"/>
            <w:tcMar>
              <w:left w:type="dxa" w:w="40"/>
              <w:right w:type="dxa" w:w="40"/>
            </w:tcMar>
          </w:tcPr>
          <w:p w14:paraId="D0000000">
            <w:pPr>
              <w:ind/>
              <w:jc w:val="center"/>
              <w:rPr/>
            </w:pPr>
            <w:r>
              <w:rPr/>
              <w:t>4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D9" w:val="clear"/>
            <w:tcMar>
              <w:left w:type="dxa" w:w="40"/>
              <w:right w:type="dxa" w:w="40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19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themeFillShade="D9" w:val="clear"/>
            <w:tcMar>
              <w:left w:type="dxa" w:w="40"/>
              <w:right w:type="dxa" w:w="40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-15</w:t>
            </w:r>
          </w:p>
        </w:tc>
      </w:tr>
      <w:tr>
        <w:trPr>
          <w:trHeight w:hRule="atLeast" w:val="261"/>
        </w:trPr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Конституционный строй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+3</w:t>
            </w:r>
          </w:p>
        </w:tc>
      </w:tr>
      <w:tr>
        <w:trPr>
          <w:trHeight w:hRule="atLeast" w:val="232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Основы государственного управления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19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-18</w:t>
            </w:r>
          </w:p>
        </w:tc>
      </w:tr>
      <w:tr>
        <w:trPr>
          <w:trHeight w:hRule="atLeast" w:val="263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Международные отношения. Международное право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70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Гражданское право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454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Индивидуальные правовые акты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Социальная сфера: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58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67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-9</w:t>
            </w:r>
          </w:p>
        </w:tc>
      </w:tr>
      <w:tr>
        <w:trPr>
          <w:trHeight w:hRule="atLeast" w:val="225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Семья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-8</w:t>
            </w:r>
          </w:p>
        </w:tc>
      </w:tr>
      <w:tr>
        <w:trPr>
          <w:trHeight w:hRule="atLeast" w:val="265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Труд и занятость населения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FA00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-5</w:t>
            </w:r>
          </w:p>
        </w:tc>
      </w:tr>
      <w:tr>
        <w:trPr>
          <w:trHeight w:hRule="atLeast" w:val="253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Социальное обеспечение и социальное страхование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FF00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+1</w:t>
            </w:r>
          </w:p>
        </w:tc>
      </w:tr>
      <w:tr>
        <w:trPr>
          <w:trHeight w:hRule="atLeast" w:val="348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Образование. Наука. Культура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0</w:t>
            </w:r>
          </w:p>
        </w:tc>
      </w:tr>
      <w:tr>
        <w:trPr>
          <w:trHeight w:hRule="atLeast" w:val="269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Здравоохранение. Физическая культура и спорт. Туризм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42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39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9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+3</w:t>
            </w:r>
          </w:p>
        </w:tc>
      </w:tr>
      <w:tr>
        <w:trPr>
          <w:trHeight w:hRule="atLeast" w:val="27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III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Экономика: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100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127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-27</w:t>
            </w:r>
          </w:p>
        </w:tc>
      </w:tr>
      <w:tr>
        <w:trPr>
          <w:trHeight w:hRule="atLeast" w:val="262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Финансы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3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-4</w:t>
            </w:r>
          </w:p>
        </w:tc>
      </w:tr>
      <w:tr>
        <w:trPr>
          <w:trHeight w:hRule="atLeast" w:val="220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Хозяйственная деятельность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99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117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-18</w:t>
            </w:r>
          </w:p>
        </w:tc>
      </w:tr>
      <w:tr>
        <w:trPr>
          <w:trHeight w:hRule="atLeast" w:val="238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Внешнеэкономическая деятельность. Таможенное дело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D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Природные ресурсы и охрана окружающей среды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2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-5</w:t>
            </w:r>
          </w:p>
        </w:tc>
      </w:tr>
      <w:tr>
        <w:trPr>
          <w:trHeight w:hRule="atLeast" w:val="334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Информация и информатизация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Оборона, безопасность, законность: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6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-5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Оборона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Безопасность и охрана правопорядка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-3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Уголовное право. Исполнение наказаний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Правосудие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Прокуратура. Органы юстиции.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Адвокатура. Нотариат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-2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V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Жилищно-коммунальная сфера: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29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42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-13</w:t>
            </w:r>
          </w:p>
        </w:tc>
      </w:tr>
      <w:tr>
        <w:trPr>
          <w:trHeight w:hRule="atLeast" w:val="266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Жилище</w:t>
            </w:r>
          </w:p>
        </w:tc>
        <w:tc>
          <w:tcPr>
            <w:tcW w:type="dxa" w:w="15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29</w:t>
            </w:r>
          </w:p>
        </w:tc>
        <w:tc>
          <w:tcPr>
            <w:tcW w:type="dxa" w:w="146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42</w:t>
            </w:r>
          </w:p>
        </w:tc>
        <w:tc>
          <w:tcPr>
            <w:tcW w:type="dxa" w:w="122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-13</w:t>
            </w:r>
          </w:p>
        </w:tc>
      </w:tr>
    </w:tbl>
    <w:p w14:paraId="50010000">
      <w:pPr>
        <w:spacing w:after="0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отчетном периоде </w:t>
      </w:r>
      <w:r>
        <w:rPr>
          <w:rFonts w:ascii="Times New Roman" w:hAnsi="Times New Roman"/>
          <w:color w:themeColor="text1" w:val="000000"/>
          <w:sz w:val="28"/>
        </w:rPr>
        <w:t xml:space="preserve">от граждан округа поступило </w:t>
      </w:r>
      <w:r>
        <w:rPr>
          <w:rFonts w:ascii="Times New Roman" w:hAnsi="Times New Roman"/>
          <w:color w:themeColor="text1" w:val="000000"/>
          <w:sz w:val="28"/>
        </w:rPr>
        <w:t>188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устных </w:t>
      </w:r>
      <w:r>
        <w:rPr>
          <w:rFonts w:ascii="Times New Roman" w:hAnsi="Times New Roman"/>
          <w:color w:themeColor="text1" w:val="000000"/>
          <w:sz w:val="28"/>
        </w:rPr>
        <w:t>обращен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й </w:t>
      </w:r>
      <w:r>
        <w:rPr>
          <w:rFonts w:ascii="Times New Roman" w:hAnsi="Times New Roman"/>
          <w:color w:themeColor="text1" w:val="000000"/>
          <w:sz w:val="28"/>
        </w:rPr>
        <w:t xml:space="preserve">(АППГ – </w:t>
      </w:r>
      <w:r>
        <w:rPr>
          <w:rFonts w:ascii="Times New Roman" w:hAnsi="Times New Roman"/>
          <w:color w:themeColor="text1" w:val="000000"/>
          <w:sz w:val="28"/>
        </w:rPr>
        <w:t>257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5456"/>
        <w:gridCol w:w="1414"/>
        <w:gridCol w:w="1391"/>
        <w:gridCol w:w="1520"/>
      </w:tblGrid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квартал</w:t>
            </w:r>
          </w:p>
          <w:p w14:paraId="55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II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квартал</w:t>
            </w:r>
          </w:p>
          <w:p w14:paraId="57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г.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Динамика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по сравнению</w:t>
            </w:r>
          </w:p>
          <w:p w14:paraId="59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с АППГ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tabs>
                <w:tab w:leader="none" w:pos="720" w:val="left"/>
              </w:tabs>
              <w:spacing w:after="0" w:line="240" w:lineRule="auto"/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Анадырь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36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-16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tabs>
                <w:tab w:leader="none" w:pos="720" w:val="left"/>
              </w:tabs>
              <w:spacing w:after="0" w:line="240" w:lineRule="auto"/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Билибинский му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ниципальный район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44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80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-36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tabs>
                <w:tab w:leader="none" w:pos="720" w:val="left"/>
              </w:tabs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Анадырский муниципальный район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36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48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-12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tabs>
                <w:tab w:leader="none" w:pos="720" w:val="left"/>
              </w:tabs>
              <w:spacing w:after="0" w:line="240" w:lineRule="auto"/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Эгвекинот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24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39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-15</w:t>
            </w:r>
          </w:p>
        </w:tc>
      </w:tr>
      <w:tr>
        <w:trPr>
          <w:trHeight w:hRule="atLeast" w:val="309"/>
        </w:trP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tabs>
                <w:tab w:leader="none" w:pos="720" w:val="left"/>
              </w:tabs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Провиденский городской округ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27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28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-1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tabs>
                <w:tab w:leader="none" w:pos="720" w:val="left"/>
              </w:tabs>
              <w:spacing w:after="0" w:line="240" w:lineRule="auto"/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Городской округ Певек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13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-2</w:t>
            </w:r>
          </w:p>
        </w:tc>
      </w:tr>
      <w:tr>
        <w:tc>
          <w:tcPr>
            <w:tcW w:type="dxa" w:w="5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tabs>
                <w:tab w:leader="none" w:pos="720" w:val="left"/>
              </w:tabs>
              <w:ind w:firstLine="460" w:left="0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Чукотский муниципальный район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26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13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+13</w:t>
            </w:r>
          </w:p>
        </w:tc>
      </w:tr>
    </w:tbl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Все устные обращения, поступившие на</w:t>
      </w:r>
      <w:r>
        <w:rPr>
          <w:rFonts w:ascii="Times New Roman" w:hAnsi="Times New Roman"/>
          <w:color w:themeColor="text1" w:val="000000"/>
          <w:sz w:val="28"/>
        </w:rPr>
        <w:t xml:space="preserve"> телефон «открытой линии», также рассмотрены. </w:t>
      </w:r>
    </w:p>
    <w:sectPr>
      <w:pgSz w:h="16838" w:orient="portrait" w:w="11906"/>
      <w:pgMar w:bottom="1134" w:footer="708" w:gutter="0" w:header="708" w:left="1418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link w:val="Style_10_ch"/>
    <w:semiHidden w:val="1"/>
    <w:unhideWhenUsed w:val="1"/>
    <w:pPr>
      <w:spacing w:after="0" w:line="240" w:lineRule="auto"/>
      <w:ind/>
    </w:pPr>
  </w:style>
  <w:style w:styleId="Style_10_ch" w:type="character">
    <w:link w:val="Style_10"/>
    <w:semiHidden w:val="1"/>
    <w:unhideWhenUsed w:val="1"/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2" w:type="paragraph">
    <w:name w:val="annotation text"/>
    <w:basedOn w:val="Style_3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3_ch"/>
    <w:link w:val="Style_12"/>
    <w:rPr>
      <w:sz w:val="20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3_ch"/>
    <w:link w:val="Style_13"/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List Paragraph"/>
    <w:basedOn w:val="Style_3"/>
    <w:link w:val="Style_16_ch"/>
    <w:pPr>
      <w:ind w:firstLine="0" w:left="720"/>
      <w:contextualSpacing w:val="1"/>
    </w:pPr>
  </w:style>
  <w:style w:styleId="Style_16_ch" w:type="character">
    <w:name w:val="List Paragraph"/>
    <w:basedOn w:val="Style_3_ch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No Spacing"/>
    <w:link w:val="Style_18_ch"/>
    <w:pPr>
      <w:spacing w:after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Знак Знак Знак Знак"/>
    <w:basedOn w:val="Style_3"/>
    <w:link w:val="Style_2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0_ch" w:type="character">
    <w:name w:val="Знак Знак Знак Знак"/>
    <w:basedOn w:val="Style_3_ch"/>
    <w:link w:val="Style_20"/>
    <w:rPr>
      <w:rFonts w:ascii="Times New Roman" w:hAnsi="Times New Roman"/>
      <w:sz w:val="20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3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endnote text"/>
    <w:basedOn w:val="Style_3"/>
    <w:link w:val="Style_31_ch"/>
    <w:pPr>
      <w:spacing w:after="0" w:line="240" w:lineRule="auto"/>
      <w:ind/>
    </w:pPr>
    <w:rPr>
      <w:sz w:val="20"/>
    </w:rPr>
  </w:style>
  <w:style w:styleId="Style_31_ch" w:type="character">
    <w:name w:val="endnote text"/>
    <w:basedOn w:val="Style_3_ch"/>
    <w:link w:val="Style_31"/>
    <w:rPr>
      <w:sz w:val="20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annotation reference"/>
    <w:basedOn w:val="Style_8"/>
    <w:link w:val="Style_34_ch"/>
    <w:rPr>
      <w:sz w:val="16"/>
    </w:rPr>
  </w:style>
  <w:style w:styleId="Style_34_ch" w:type="character">
    <w:name w:val="annotation reference"/>
    <w:basedOn w:val="Style_8_ch"/>
    <w:link w:val="Style_34"/>
    <w:rPr>
      <w:sz w:val="16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endnote reference"/>
    <w:basedOn w:val="Style_8"/>
    <w:link w:val="Style_36_ch"/>
    <w:rPr>
      <w:vertAlign w:val="superscript"/>
    </w:rPr>
  </w:style>
  <w:style w:styleId="Style_36_ch" w:type="character">
    <w:name w:val="endnote reference"/>
    <w:basedOn w:val="Style_8_ch"/>
    <w:link w:val="Style_36"/>
    <w:rPr>
      <w:vertAlign w:val="superscript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2024-06-28T05:04:39Z</dcterms:modified>
</cp:coreProperties>
</file>