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0B66" w14:textId="77777777" w:rsidR="00BB0417" w:rsidRPr="00BB0417" w:rsidRDefault="00BB0417" w:rsidP="00BB0417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NSimSun" w:hAnsi="Times New Roman" w:cs="Lucida Sans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BB0417">
        <w:rPr>
          <w:rFonts w:ascii="Times New Roman" w:eastAsia="NSimSun" w:hAnsi="Times New Roman" w:cs="Lucida Sans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>Исчерпывающий перечень сведений, которые могут запрашиваться у контролируемого лица</w:t>
      </w:r>
    </w:p>
    <w:p w14:paraId="3E661083" w14:textId="77777777" w:rsidR="00BB0417" w:rsidRPr="00BB0417" w:rsidRDefault="00BB0417" w:rsidP="00BB04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ahoma"/>
          <w:b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6C943DDD" w14:textId="145D1BD0" w:rsidR="00BB0417" w:rsidRPr="00BB0417" w:rsidRDefault="00BB0417" w:rsidP="00BB0417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1. 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Документ (выписка из приказа, распоряжения, решения или иного учредительного документа), подтверждающий полномочия законного </w:t>
      </w:r>
      <w:r w:rsidRPr="00BB0417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  <w:t>представителя юридического лица (ген</w:t>
      </w:r>
      <w:r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  <w:t>еральный</w:t>
      </w:r>
      <w:r w:rsidRPr="00BB0417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  <w:t xml:space="preserve"> директор, директор и </w:t>
      </w:r>
      <w:r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  <w:t>так далее</w:t>
      </w:r>
      <w:r w:rsidRPr="00BB0417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  <w:t>).</w:t>
      </w:r>
    </w:p>
    <w:p w14:paraId="0E16440B" w14:textId="1730605E" w:rsidR="00BB0417" w:rsidRPr="00BB0417" w:rsidRDefault="00BB0417" w:rsidP="00BB041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BB0417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2. </w:t>
      </w:r>
      <w:r w:rsidRPr="00BB0417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  <w14:ligatures w14:val="none"/>
        </w:rPr>
        <w:t>Данные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законного представителя юридического лица (генеральный директор, директор и так далее), а также лица, специально уполномоченного на решение задач в области защиты населения и территорий от чрезвычайных ситуаций: (Ф.И.О., дата и место рождения, адрес места жительства, место работы, должность).</w:t>
      </w:r>
    </w:p>
    <w:p w14:paraId="073D1E1C" w14:textId="3B8D15E2" w:rsidR="00BB0417" w:rsidRPr="00BB0417" w:rsidRDefault="00BB0417" w:rsidP="00BB0417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3. 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 xml:space="preserve">в запросе должностными лицами Комитета по делам 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гражданской обороны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и 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чрезвычайным ситуациям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. 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Должностные лица Комитета по делам 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гражданской обороны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и 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чрезвычайным ситуациям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вправе собственноручно составить объяснения со слов контролируемых лиц,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>их представителей, свидетелей. В этом случае указанные лица знакомятся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>с объяснениями, при необходимости дополняют текст, делают отметку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 xml:space="preserve">о том, что должностное лицо Комитета по делам </w:t>
      </w:r>
      <w:r w:rsidR="00F31F5B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гражданской обороны</w:t>
      </w:r>
      <w:r w:rsidR="00F31F5B"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и </w:t>
      </w:r>
      <w:r w:rsidR="00F31F5B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чрезвычайным ситуациям</w:t>
      </w:r>
      <w:r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с их слов записало верно, и подписывают документ, указывая дату и место его составления.</w:t>
      </w:r>
    </w:p>
    <w:p w14:paraId="4EB8CFEB" w14:textId="28B042F3" w:rsidR="00BB0417" w:rsidRPr="00F31F5B" w:rsidRDefault="00F31F5B" w:rsidP="00F31F5B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4.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План действий по предупреждению и ликвидации чрезвычайных ситуаций организации.</w:t>
      </w:r>
    </w:p>
    <w:p w14:paraId="230D499B" w14:textId="52A53B7B" w:rsidR="00BB0417" w:rsidRPr="00BB0417" w:rsidRDefault="00F31F5B" w:rsidP="00F31F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5. </w:t>
      </w:r>
      <w:r w:rsidR="00BB0417"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Организационно-распорядительный документ о комиссии</w:t>
      </w:r>
      <w:r w:rsidR="00BB0417" w:rsidRPr="00BB041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>по предупреждению и ликвидации чрезвычайных ситуаций и обеспечению пожарной безопасности организации (далее — КЧС и ОПБ).</w:t>
      </w:r>
    </w:p>
    <w:p w14:paraId="72F3B9E5" w14:textId="77777777" w:rsidR="00F31F5B" w:rsidRDefault="00F31F5B" w:rsidP="00F31F5B">
      <w:pPr>
        <w:widowControl w:val="0"/>
        <w:suppressAutoHyphens/>
        <w:autoSpaceDN w:val="0"/>
        <w:spacing w:after="0" w:line="240" w:lineRule="auto"/>
        <w:ind w:left="630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6.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Документы, подтверждающие прохождение подготовки в области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защиты</w:t>
      </w:r>
    </w:p>
    <w:p w14:paraId="4FCD93FA" w14:textId="0B2F8ABE" w:rsidR="00BB0417" w:rsidRPr="00F31F5B" w:rsidRDefault="00BB0417" w:rsidP="00F31F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населения и территорий от чрезвычайных ситуаций руководителя, председателя КЧС и ОПБ.</w:t>
      </w:r>
    </w:p>
    <w:p w14:paraId="2E2C9A1C" w14:textId="77777777" w:rsidR="00F31F5B" w:rsidRDefault="00F31F5B" w:rsidP="00F31F5B">
      <w:pPr>
        <w:widowControl w:val="0"/>
        <w:suppressAutoHyphens/>
        <w:autoSpaceDN w:val="0"/>
        <w:spacing w:after="0" w:line="240" w:lineRule="auto"/>
        <w:ind w:left="705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7.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Документ (выписка из приказа, распоряжения или иного учредительного</w:t>
      </w:r>
    </w:p>
    <w:p w14:paraId="1CB2C167" w14:textId="40439F91" w:rsidR="00BB0417" w:rsidRPr="00F31F5B" w:rsidRDefault="00BB0417" w:rsidP="00F31F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документа, а также положения об органе), подтверждающий полномочия структурного подразделения (должностного лица), специально уполномоченного на решение задач в области защиты населения и территорий</w:t>
      </w:r>
      <w:r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>от чрезвычайных ситуаций и его должностные (функциональные, служебные</w:t>
      </w:r>
      <w:r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 xml:space="preserve">и </w:t>
      </w:r>
      <w:r w:rsid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так далее</w:t>
      </w:r>
      <w:r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) обязанности с подписью об ознакомлении.</w:t>
      </w:r>
    </w:p>
    <w:p w14:paraId="10B24F42" w14:textId="2A8EC43E" w:rsidR="00BB0417" w:rsidRPr="00F31F5B" w:rsidRDefault="00F31F5B" w:rsidP="00F31F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8.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Утвержденное положение (устав) об органе повседневного управления УТП РСЧС, определяющее компетенцию и полномочия органа повседневного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lastRenderedPageBreak/>
        <w:t>управления.</w:t>
      </w:r>
    </w:p>
    <w:p w14:paraId="23974B5A" w14:textId="1800CB2F" w:rsidR="00BB0417" w:rsidRPr="00F31F5B" w:rsidRDefault="00F31F5B" w:rsidP="00F31F5B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9.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Документы, подтверждающие прохождение подготовки работников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организации, в полномочия которых входит решение вопросов по защите населения и территорий от чрезвычайных ситуаций.</w:t>
      </w:r>
    </w:p>
    <w:p w14:paraId="7E329442" w14:textId="7F570607" w:rsidR="00BB0417" w:rsidRPr="00F31F5B" w:rsidRDefault="00F31F5B" w:rsidP="00F31F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10.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Сведения об обучении работников организации, в полномочия которых входит решение вопросов по защите населения и территорий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>от чрезвычайных ситуаций.</w:t>
      </w:r>
    </w:p>
    <w:p w14:paraId="756E9CA3" w14:textId="10C14600" w:rsidR="00BB0417" w:rsidRPr="00F31F5B" w:rsidRDefault="00F31F5B" w:rsidP="00F31F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 11.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Организационно-распорядительные документы о проведении тактико-специальных учений, штабных тренировок в организации.</w:t>
      </w:r>
    </w:p>
    <w:p w14:paraId="2F7C1260" w14:textId="00F268FC" w:rsidR="00BB0417" w:rsidRPr="00F31F5B" w:rsidRDefault="00F31F5B" w:rsidP="00F31F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 12.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Документы, связанные с деятельностью комиссии по вопросам повышения устойчивости функционирования организации.</w:t>
      </w:r>
    </w:p>
    <w:p w14:paraId="45D9BBC6" w14:textId="1C93646B" w:rsidR="00BB0417" w:rsidRPr="00F31F5B" w:rsidRDefault="00F31F5B" w:rsidP="00F31F5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 13.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Организационно-распорядительный документ о создании резервов материальных ресурсов организации.</w:t>
      </w:r>
    </w:p>
    <w:p w14:paraId="4D057F09" w14:textId="127EBE2E" w:rsidR="00BB0417" w:rsidRPr="00F31F5B" w:rsidRDefault="00F31F5B" w:rsidP="00F31F5B">
      <w:pPr>
        <w:widowControl w:val="0"/>
        <w:suppressAutoHyphens/>
        <w:autoSpaceDN w:val="0"/>
        <w:spacing w:after="300" w:line="240" w:lineRule="auto"/>
        <w:ind w:left="75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      14. 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Иные документы, разрабатываемые организациями, в целях соблюдения обязательных требований в области защиты населения</w:t>
      </w:r>
      <w:r w:rsidR="00BB0417" w:rsidRPr="00F31F5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  <w:t>и территорий от чрезвычайных ситуаций.</w:t>
      </w:r>
    </w:p>
    <w:p w14:paraId="2745D661" w14:textId="77777777" w:rsidR="000B0E40" w:rsidRDefault="000B0E40"/>
    <w:sectPr w:rsidR="000B0E40" w:rsidSect="00BB0417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72815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669E" w14:textId="77777777" w:rsidR="00000000" w:rsidRDefault="0000000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4985" w14:textId="77777777" w:rsidR="00000000" w:rsidRDefault="00000000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1FC5792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F54A5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227"/>
    <w:multiLevelType w:val="hybridMultilevel"/>
    <w:tmpl w:val="81F03D5A"/>
    <w:lvl w:ilvl="0" w:tplc="A7501F4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A81AE0"/>
    <w:multiLevelType w:val="hybridMultilevel"/>
    <w:tmpl w:val="0CBE5926"/>
    <w:lvl w:ilvl="0" w:tplc="D708DF8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4032F"/>
    <w:multiLevelType w:val="multilevel"/>
    <w:tmpl w:val="43BA9D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F93B33"/>
    <w:multiLevelType w:val="hybridMultilevel"/>
    <w:tmpl w:val="940E5D40"/>
    <w:lvl w:ilvl="0" w:tplc="035E8F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B673F"/>
    <w:multiLevelType w:val="hybridMultilevel"/>
    <w:tmpl w:val="9FACFD4C"/>
    <w:lvl w:ilvl="0" w:tplc="5BA43A58">
      <w:start w:val="9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C5F690B"/>
    <w:multiLevelType w:val="hybridMultilevel"/>
    <w:tmpl w:val="C344C1DA"/>
    <w:lvl w:ilvl="0" w:tplc="08C83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80A64C9"/>
    <w:multiLevelType w:val="hybridMultilevel"/>
    <w:tmpl w:val="B2D89F7A"/>
    <w:lvl w:ilvl="0" w:tplc="B4E8B5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237CA"/>
    <w:multiLevelType w:val="hybridMultilevel"/>
    <w:tmpl w:val="B7420420"/>
    <w:lvl w:ilvl="0" w:tplc="BA3630F6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EE337A"/>
    <w:multiLevelType w:val="hybridMultilevel"/>
    <w:tmpl w:val="099E367E"/>
    <w:lvl w:ilvl="0" w:tplc="7FCE5F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20436"/>
    <w:multiLevelType w:val="hybridMultilevel"/>
    <w:tmpl w:val="9552E6B8"/>
    <w:lvl w:ilvl="0" w:tplc="9B0CBA82">
      <w:start w:val="14"/>
      <w:numFmt w:val="decimal"/>
      <w:lvlText w:val="%1"/>
      <w:lvlJc w:val="left"/>
      <w:pPr>
        <w:ind w:left="4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4755E49"/>
    <w:multiLevelType w:val="hybridMultilevel"/>
    <w:tmpl w:val="F7EA60DC"/>
    <w:lvl w:ilvl="0" w:tplc="D4EAAD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03B02"/>
    <w:multiLevelType w:val="hybridMultilevel"/>
    <w:tmpl w:val="540CABB2"/>
    <w:lvl w:ilvl="0" w:tplc="CDDE3922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647116B8"/>
    <w:multiLevelType w:val="multilevel"/>
    <w:tmpl w:val="638425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egoe UI" w:hAnsi="Times New Roman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88A33EA"/>
    <w:multiLevelType w:val="multilevel"/>
    <w:tmpl w:val="0636A7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egoe UI" w:hAnsi="Times New Roman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0C04C99"/>
    <w:multiLevelType w:val="hybridMultilevel"/>
    <w:tmpl w:val="C6DC9C74"/>
    <w:lvl w:ilvl="0" w:tplc="DA1AB6E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30B457D"/>
    <w:multiLevelType w:val="multilevel"/>
    <w:tmpl w:val="E656ED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9046453"/>
    <w:multiLevelType w:val="hybridMultilevel"/>
    <w:tmpl w:val="2466C540"/>
    <w:lvl w:ilvl="0" w:tplc="3DBA7DA8">
      <w:start w:val="1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A804AB4"/>
    <w:multiLevelType w:val="hybridMultilevel"/>
    <w:tmpl w:val="C338E2C4"/>
    <w:lvl w:ilvl="0" w:tplc="75E41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92513510">
    <w:abstractNumId w:val="2"/>
  </w:num>
  <w:num w:numId="2" w16cid:durableId="1159465080">
    <w:abstractNumId w:val="13"/>
  </w:num>
  <w:num w:numId="3" w16cid:durableId="148134046">
    <w:abstractNumId w:val="15"/>
  </w:num>
  <w:num w:numId="4" w16cid:durableId="1429545389">
    <w:abstractNumId w:val="12"/>
  </w:num>
  <w:num w:numId="5" w16cid:durableId="1193418573">
    <w:abstractNumId w:val="5"/>
  </w:num>
  <w:num w:numId="6" w16cid:durableId="1249384483">
    <w:abstractNumId w:val="17"/>
  </w:num>
  <w:num w:numId="7" w16cid:durableId="1469785453">
    <w:abstractNumId w:val="14"/>
  </w:num>
  <w:num w:numId="8" w16cid:durableId="728111658">
    <w:abstractNumId w:val="11"/>
  </w:num>
  <w:num w:numId="9" w16cid:durableId="2115516541">
    <w:abstractNumId w:val="7"/>
  </w:num>
  <w:num w:numId="10" w16cid:durableId="522207007">
    <w:abstractNumId w:val="0"/>
  </w:num>
  <w:num w:numId="11" w16cid:durableId="292563531">
    <w:abstractNumId w:val="4"/>
  </w:num>
  <w:num w:numId="12" w16cid:durableId="1579100045">
    <w:abstractNumId w:val="3"/>
  </w:num>
  <w:num w:numId="13" w16cid:durableId="89472390">
    <w:abstractNumId w:val="8"/>
  </w:num>
  <w:num w:numId="14" w16cid:durableId="486895930">
    <w:abstractNumId w:val="16"/>
  </w:num>
  <w:num w:numId="15" w16cid:durableId="1480809624">
    <w:abstractNumId w:val="1"/>
  </w:num>
  <w:num w:numId="16" w16cid:durableId="804589244">
    <w:abstractNumId w:val="10"/>
  </w:num>
  <w:num w:numId="17" w16cid:durableId="694035913">
    <w:abstractNumId w:val="6"/>
  </w:num>
  <w:num w:numId="18" w16cid:durableId="13212743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F2"/>
    <w:rsid w:val="000B0E40"/>
    <w:rsid w:val="003D0EF2"/>
    <w:rsid w:val="003E2AF4"/>
    <w:rsid w:val="00BB0417"/>
    <w:rsid w:val="00F3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52D9"/>
  <w15:chartTrackingRefBased/>
  <w15:docId w15:val="{5A498A43-7DBA-4544-B423-2391C44F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417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  <w14:ligatures w14:val="none"/>
    </w:rPr>
  </w:style>
  <w:style w:type="character" w:customStyle="1" w:styleId="a4">
    <w:name w:val="Верхний колонтитул Знак"/>
    <w:basedOn w:val="a0"/>
    <w:link w:val="a3"/>
    <w:rsid w:val="00BB0417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  <w14:ligatures w14:val="none"/>
    </w:rPr>
  </w:style>
  <w:style w:type="paragraph" w:styleId="a5">
    <w:name w:val="footer"/>
    <w:basedOn w:val="a"/>
    <w:link w:val="a6"/>
    <w:rsid w:val="00BB0417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  <w14:ligatures w14:val="none"/>
    </w:rPr>
  </w:style>
  <w:style w:type="character" w:customStyle="1" w:styleId="a6">
    <w:name w:val="Нижний колонтитул Знак"/>
    <w:basedOn w:val="a0"/>
    <w:link w:val="a5"/>
    <w:rsid w:val="00BB0417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  <w14:ligatures w14:val="none"/>
    </w:rPr>
  </w:style>
  <w:style w:type="paragraph" w:styleId="a7">
    <w:name w:val="List Paragraph"/>
    <w:basedOn w:val="a"/>
    <w:uiPriority w:val="34"/>
    <w:qFormat/>
    <w:rsid w:val="00BB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3243</Characters>
  <Application>Microsoft Office Word</Application>
  <DocSecurity>0</DocSecurity>
  <Lines>360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Корегина Марина Владимировна</dc:creator>
  <cp:keywords/>
  <dc:description/>
  <cp:lastModifiedBy>Корегина Марина Владимировна</cp:lastModifiedBy>
  <cp:revision>2</cp:revision>
  <dcterms:created xsi:type="dcterms:W3CDTF">2024-06-26T03:28:00Z</dcterms:created>
  <dcterms:modified xsi:type="dcterms:W3CDTF">2024-06-26T03:52:00Z</dcterms:modified>
</cp:coreProperties>
</file>