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8" w:rsidRDefault="006D3848" w:rsidP="00CF6382">
      <w:pPr>
        <w:spacing w:after="0" w:line="240" w:lineRule="auto"/>
        <w:ind w:firstLine="0"/>
        <w:jc w:val="center"/>
        <w:rPr>
          <w:b/>
          <w:sz w:val="28"/>
          <w:szCs w:val="28"/>
          <w:lang w:bidi="en-US"/>
        </w:rPr>
      </w:pPr>
      <w:r w:rsidRPr="006D3848">
        <w:rPr>
          <w:b/>
          <w:sz w:val="28"/>
          <w:szCs w:val="28"/>
          <w:lang w:bidi="en-US"/>
        </w:rPr>
        <w:t xml:space="preserve">Отчет о ходе исполнения плана мероприятий по реализации </w:t>
      </w:r>
    </w:p>
    <w:p w:rsidR="00CF6382" w:rsidRDefault="006D3848" w:rsidP="00CF6382">
      <w:pPr>
        <w:spacing w:after="0" w:line="240" w:lineRule="auto"/>
        <w:ind w:firstLine="0"/>
        <w:jc w:val="center"/>
        <w:rPr>
          <w:b/>
          <w:sz w:val="28"/>
          <w:szCs w:val="28"/>
          <w:lang w:bidi="en-US"/>
        </w:rPr>
      </w:pPr>
      <w:r w:rsidRPr="006D3848">
        <w:rPr>
          <w:b/>
          <w:sz w:val="28"/>
          <w:szCs w:val="28"/>
          <w:lang w:bidi="en-US"/>
        </w:rPr>
        <w:t>Стратегии социально-экономического развития Чукотского автономного округа до 2030 года</w:t>
      </w:r>
    </w:p>
    <w:p w:rsidR="006D3848" w:rsidRPr="00CF6382" w:rsidRDefault="006D3848" w:rsidP="00CF6382">
      <w:pPr>
        <w:spacing w:after="0" w:line="240" w:lineRule="auto"/>
        <w:ind w:firstLine="0"/>
        <w:jc w:val="center"/>
        <w:rPr>
          <w:b/>
          <w:sz w:val="28"/>
          <w:szCs w:val="28"/>
          <w:lang w:bidi="en-US"/>
        </w:rPr>
      </w:pPr>
    </w:p>
    <w:tbl>
      <w:tblPr>
        <w:tblStyle w:val="afb"/>
        <w:tblW w:w="151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711"/>
        <w:gridCol w:w="9922"/>
      </w:tblGrid>
      <w:tr w:rsidR="00A93A92" w:rsidRPr="00C61A61" w:rsidTr="008C37F8">
        <w:trPr>
          <w:tblHeader/>
        </w:trPr>
        <w:tc>
          <w:tcPr>
            <w:tcW w:w="562" w:type="dxa"/>
            <w:vAlign w:val="center"/>
          </w:tcPr>
          <w:p w:rsidR="00A93A92" w:rsidRDefault="00A93A92" w:rsidP="00C11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711" w:type="dxa"/>
            <w:vAlign w:val="center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Содержание мероприятия</w:t>
            </w:r>
          </w:p>
        </w:tc>
        <w:tc>
          <w:tcPr>
            <w:tcW w:w="9922" w:type="dxa"/>
            <w:vAlign w:val="center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Достигнутый результат, причины невыполнения (несвоевременного выполнения) мероприятия</w:t>
            </w:r>
          </w:p>
        </w:tc>
      </w:tr>
      <w:tr w:rsidR="00A93A92" w:rsidRPr="00C61A61" w:rsidTr="008C37F8">
        <w:trPr>
          <w:trHeight w:val="497"/>
        </w:trPr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4633" w:type="dxa"/>
            <w:gridSpan w:val="2"/>
            <w:vAlign w:val="center"/>
          </w:tcPr>
          <w:p w:rsidR="00A93A92" w:rsidRPr="00C11A05" w:rsidRDefault="00A93A92" w:rsidP="00A9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Задача «Создание новых предприятий в добывающей промышленности Округа и производстве социально значимых товаров»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D38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«Развитие транспортной инфраструктуры Чукотского автономного округа на 2014-2022 годы» в части включения мероприятий, направленных на реконструкцию и развитие портовой инфраструктуры Чукотского автономного округа с целью развития резидентов ТОР </w:t>
            </w:r>
            <w:proofErr w:type="spellStart"/>
            <w:r w:rsidRPr="006D38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Беринговский</w:t>
            </w:r>
            <w:proofErr w:type="spellEnd"/>
            <w:r w:rsidRPr="006D38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СПВ </w:t>
            </w:r>
            <w:proofErr w:type="spellStart"/>
            <w:r w:rsidRPr="006D38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Певек</w:t>
            </w:r>
            <w:proofErr w:type="spellEnd"/>
          </w:p>
        </w:tc>
        <w:tc>
          <w:tcPr>
            <w:tcW w:w="9922" w:type="dxa"/>
          </w:tcPr>
          <w:p w:rsidR="00A93A92" w:rsidRDefault="001725B7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A93A92"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  <w:p w:rsidR="00A93A92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</w:t>
            </w:r>
            <w:r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Государственную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требуется в виду того, что данные мероприятия реализуются за счет федеральных средств и собственных средств инвесторов</w:t>
            </w:r>
            <w:r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 </w:t>
            </w:r>
          </w:p>
          <w:p w:rsidR="00A93A92" w:rsidRPr="004E2A5E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2016 года реализуется мероприятие по реконструкции объектов федеральной собственности в морском порту Певек и включает в себя реконструкцию двух причалов № 1 и № 2. Планируемый срок окончания работ – конец 2020 года. Источник финансирования федеральный бюджет.</w:t>
            </w:r>
          </w:p>
          <w:p w:rsidR="00A93A92" w:rsidRPr="004E2A5E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рамках перехода к закрытому типу перевалки угля на период 2019-2021 гг. ООО «Порт Угольный» запланирована реализация инвестиционного проекта по реконструкции морского порта </w:t>
            </w:r>
            <w:proofErr w:type="spellStart"/>
            <w:r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Беринговский</w:t>
            </w:r>
            <w:proofErr w:type="spellEnd"/>
            <w:r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порту располагаются 5 причальных сооружений, находящихся в федеральной собственности: причалы </w:t>
            </w:r>
            <w:proofErr w:type="spellStart"/>
            <w:r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генгрузов</w:t>
            </w:r>
            <w:proofErr w:type="spellEnd"/>
            <w:r w:rsidRPr="004E2A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№ 3, 4, 5, угольный пирс и оградительный мол. </w:t>
            </w:r>
          </w:p>
          <w:p w:rsidR="00A93A92" w:rsidRPr="00CF7D58" w:rsidRDefault="00A93A92" w:rsidP="00C3558B">
            <w:pPr>
              <w:ind w:left="113" w:right="114" w:firstLine="288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bidi="en-US"/>
              </w:rPr>
            </w:pPr>
            <w:r w:rsidRPr="00691B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Проект «Строительство специализированного угольного терминала в морском порту </w:t>
            </w:r>
            <w:proofErr w:type="spellStart"/>
            <w:r w:rsidRPr="00691B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Беринговский</w:t>
            </w:r>
            <w:proofErr w:type="spellEnd"/>
            <w:r w:rsidRPr="00691B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», мощностью 10 млн. тонн 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включен в </w:t>
            </w:r>
            <w:r w:rsidR="00C3558B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«Дорожную карту» развития до 2020 года (с возможностью продления до 2030 года) морских портов Дальневосточного бассейна и Восточной Арктики, а также развития подходов к данным морским портам</w:t>
            </w:r>
            <w:r w:rsidR="00CF7D58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утвержденную 22.03.2018 Правительственной комиссией по транспорту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Согласовать с Минтрансом России внесение изменений в Государственную программу Российской Федерации «Развитие транспортной системы» в части включения мероприятий, направленных на реконструкцию объектов федеральной собственности в морских портах Чукотского автономного округа</w:t>
            </w:r>
          </w:p>
        </w:tc>
        <w:tc>
          <w:tcPr>
            <w:tcW w:w="9922" w:type="dxa"/>
          </w:tcPr>
          <w:p w:rsidR="001725B7" w:rsidRDefault="001725B7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</w:t>
            </w:r>
            <w:r w:rsidR="008E040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 стадии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</w:t>
            </w:r>
            <w:r w:rsidR="008E040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707E5F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Правительством региона в адрес Минтранса России направлено предложение о включении в Государственную программу РФ «Развитие транспортной системы» мероприятия по реконструкции объектов федеральной собственности в морском порту Анадырь (реконструкция причала № 7 на левом берегу) со сроком реализации 2020-2021 гг.</w:t>
            </w:r>
          </w:p>
          <w:p w:rsidR="00A93A92" w:rsidRPr="00707E5F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соответствии с рекомендацией Минтранса РФ (от 07.08.2019 № ЮЦ-Д5-24/12631) Правительство </w:t>
            </w:r>
            <w:r w:rsidR="007B26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Чукотского автономного округа </w:t>
            </w: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обратилось в АНО «Аналитический центр при Правительстве РФ» (от 28.08.2019 № 03-01/4445) в целях проведения ранжирования проекта реконструкции причала № 7 на правом берегу Анадырского лимана. </w:t>
            </w:r>
          </w:p>
          <w:p w:rsidR="00A93A92" w:rsidRPr="00707E5F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Письмом АНО «Аналитический центр при Правительстве РФ» от 12.09.2019 № 01-02/3450 </w:t>
            </w: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 </w:t>
            </w:r>
            <w:proofErr w:type="spellStart"/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Росморречфлот</w:t>
            </w:r>
            <w:proofErr w:type="spellEnd"/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Правительство </w:t>
            </w:r>
            <w:r w:rsidR="007B26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Чукотского автономного округа </w:t>
            </w: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направлен результат ранжирования проекта «мероприятие по реконструкции причала № 7», планируемого к включению в федеральный проект «Морские порты России»:</w:t>
            </w:r>
            <w:r w:rsidR="007B26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«Ввиду высокой важности и жизнеобеспечивающего характера мероприятия Минтрансу России (</w:t>
            </w:r>
            <w:proofErr w:type="spellStart"/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Росморречфлот</w:t>
            </w:r>
            <w:proofErr w:type="spellEnd"/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 целесообразно рассмотреть возможность включения </w:t>
            </w:r>
            <w:r w:rsidR="007B26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Государственную программу Российской Федерации «Развитие транспортной системы» и в связи с ограниченностью средств федерального бюджета на реализацию мероприятий Комплексного плана в сфере морского транспорта проработать вопрос финансового обеспечения проекта».</w:t>
            </w:r>
          </w:p>
          <w:p w:rsidR="00A93A92" w:rsidRPr="00707E5F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настоящее время вопрос находится на рассмотрении в Минтрансе России (</w:t>
            </w:r>
            <w:proofErr w:type="spellStart"/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Росморречфлоте</w:t>
            </w:r>
            <w:proofErr w:type="spellEnd"/>
            <w:r w:rsidRPr="00707E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FC3441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C34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1.3</w:t>
            </w:r>
          </w:p>
        </w:tc>
        <w:tc>
          <w:tcPr>
            <w:tcW w:w="4711" w:type="dxa"/>
          </w:tcPr>
          <w:p w:rsidR="00A93A92" w:rsidRPr="00FC3441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Создание 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заключить соглашения с якорными инвесторами </w:t>
            </w:r>
          </w:p>
        </w:tc>
        <w:tc>
          <w:tcPr>
            <w:tcW w:w="9922" w:type="dxa"/>
          </w:tcPr>
          <w:p w:rsidR="008E0405" w:rsidRDefault="008E0405" w:rsidP="008E0405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BF7094" w:rsidRDefault="00A93A92" w:rsidP="00A93A92">
            <w:pPr>
              <w:ind w:left="113" w:right="114" w:firstLine="25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Постановлением Правительства Российской Федерации от 10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.01.</w:t>
            </w:r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2019 № 3 «О внесении изменений в постановление Правительства Российской Федерации от 21 августа 2015 года № 876» территория опережающего социально-экономического развития «</w:t>
            </w:r>
            <w:proofErr w:type="spellStart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Беринговский</w:t>
            </w:r>
            <w:proofErr w:type="spellEnd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(далее – ТОР</w:t>
            </w:r>
            <w:r w:rsidR="007B26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переименована в ТОР «Чукотка» и дополнена двумя кадастровыми кварталами, включающими месторождения </w:t>
            </w:r>
            <w:proofErr w:type="spellStart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Баимской</w:t>
            </w:r>
            <w:proofErr w:type="spellEnd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рудной зоны.</w:t>
            </w:r>
          </w:p>
          <w:p w:rsidR="00A93A92" w:rsidRPr="00BF7094" w:rsidRDefault="00A93A92" w:rsidP="00A93A92">
            <w:pPr>
              <w:ind w:left="113" w:right="114" w:firstLine="25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ТОР занимает 262,6 тыс. кв. км, перечень разрешенных для резидентов ТОР видов деятельности включает 47 позиций (классов по ОКВЭД).</w:t>
            </w:r>
          </w:p>
          <w:p w:rsidR="00A93A92" w:rsidRDefault="00A93A92" w:rsidP="00A93A92">
            <w:pPr>
              <w:ind w:left="113" w:right="114" w:firstLine="25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ТОР имеет богатую минерально-сырьевую базу и ориентирована на развитие двух стратегических промышленных зон округа – Анадырской и </w:t>
            </w:r>
            <w:proofErr w:type="spellStart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Чаун-Билибинской</w:t>
            </w:r>
            <w:proofErr w:type="spellEnd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BF7094" w:rsidRDefault="00A93A92" w:rsidP="00A93A92">
            <w:pPr>
              <w:ind w:left="113" w:right="114" w:firstLine="25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.07.</w:t>
            </w:r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2019 подписаны соглашения о реализации двух якорных инвестиционных проектов по освоению </w:t>
            </w:r>
            <w:proofErr w:type="spellStart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Баимской</w:t>
            </w:r>
            <w:proofErr w:type="spellEnd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рудной зоны между управляющей компанией АО «Корпорация развития Дальнего Востока»  и ООО «Клен», АО «Базовые металлы». Компании реализуют проекты по освоению золоторудных месторождений Клен и </w:t>
            </w:r>
            <w:proofErr w:type="spellStart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Кекура</w:t>
            </w:r>
            <w:proofErr w:type="spellEnd"/>
            <w:r w:rsidRPr="00BF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 созданием горно-перерабатывающих производств.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Проведение ГРР с целью уточнения запасов золота и прочих полезных ископаемых и последующей разработки новых (на текущий момент не планируемых к освоению) месторождений Округа</w:t>
            </w:r>
          </w:p>
        </w:tc>
        <w:tc>
          <w:tcPr>
            <w:tcW w:w="9922" w:type="dxa"/>
          </w:tcPr>
          <w:p w:rsidR="008E0405" w:rsidRDefault="008E0405" w:rsidP="008E0405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не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выполнено</w:t>
            </w: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C11A05" w:rsidRDefault="00804946" w:rsidP="007B26A9">
            <w:pPr>
              <w:ind w:left="113" w:firstLine="25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6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 реализации мероприятия не наступил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8407D0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07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4711" w:type="dxa"/>
          </w:tcPr>
          <w:p w:rsidR="00A93A92" w:rsidRPr="008407D0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07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Содействие инициаторам </w:t>
            </w:r>
            <w:r w:rsidRPr="008407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инвестиционных проектов в получении федеральных мер государственной поддержки в рамках Постановления Правительства Российской Федерации от 16 октября 2014 г. №1055 «Об утверждении методики отбора инвестиционных проектов, планируемых к реализации на территориях Дальнего Востока и Байкальского региона»  </w:t>
            </w:r>
          </w:p>
        </w:tc>
        <w:tc>
          <w:tcPr>
            <w:tcW w:w="9922" w:type="dxa"/>
          </w:tcPr>
          <w:p w:rsidR="001725B7" w:rsidRDefault="001725B7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Мероприятие выполнено</w:t>
            </w:r>
            <w:r w:rsidRPr="006D38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6D3848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D38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Инвестиционные проекты, получающие федеральные меры государственной поддержки в рамках Постановления Правительства Российской Федерации от 16 октября 2014 г. №1055 в округе отсутствуют.</w:t>
            </w:r>
          </w:p>
          <w:p w:rsidR="00A93A92" w:rsidRPr="00C11A0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D38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2019 году заявок на получение федеральных мер государственной поддержки не поступало.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1.6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агропромышленного комплекса Чукотского автономного округа» в части включения мероприятий, направленных на внедрение инновационных технологий в отраслях сельского хозяйства</w:t>
            </w:r>
          </w:p>
        </w:tc>
        <w:tc>
          <w:tcPr>
            <w:tcW w:w="9922" w:type="dxa"/>
          </w:tcPr>
          <w:p w:rsidR="001725B7" w:rsidRDefault="001725B7" w:rsidP="00A93A92">
            <w:pPr>
              <w:ind w:left="113" w:firstLine="25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не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выполнено</w:t>
            </w:r>
          </w:p>
          <w:p w:rsidR="00A93A92" w:rsidRPr="00C11A05" w:rsidRDefault="00A93A92" w:rsidP="00A93A92">
            <w:pPr>
              <w:ind w:left="113" w:firstLine="25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6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 реализации мероприятия не наступил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1.7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агропромышленного комплекса Чукотского автономного округа» в части включения мероприятия направленных на строительство объекта федеральной собственности, предназначенного для комплексного обслуживания судов рыбопромыслового флота в глубоководном, круглогодичном морском порту Провидения (Провиденский рыбный морской терминал)</w:t>
            </w:r>
          </w:p>
        </w:tc>
        <w:tc>
          <w:tcPr>
            <w:tcW w:w="9922" w:type="dxa"/>
          </w:tcPr>
          <w:p w:rsidR="001725B7" w:rsidRDefault="001725B7" w:rsidP="00A93A92">
            <w:pPr>
              <w:ind w:left="113" w:firstLine="25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Мероприятие </w:t>
            </w:r>
            <w:r w:rsidR="002D20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не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выполнено</w:t>
            </w:r>
          </w:p>
          <w:p w:rsidR="00A93A92" w:rsidRPr="00C11A05" w:rsidRDefault="00A93A92" w:rsidP="00A93A92">
            <w:pPr>
              <w:ind w:left="113" w:firstLine="25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6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 реализации мероприятия не наступил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«Развитие агропромышленного комплекса Чукотского автономного округа» в части </w:t>
            </w: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включения мероприятий, направленных на создание и организацию деятельности Центра продвижения продукции морского зверобойного промысла, сертификации и проведения аукционной торговли</w:t>
            </w:r>
          </w:p>
        </w:tc>
        <w:tc>
          <w:tcPr>
            <w:tcW w:w="9922" w:type="dxa"/>
          </w:tcPr>
          <w:p w:rsidR="001725B7" w:rsidRDefault="001725B7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</w:t>
            </w:r>
            <w:r w:rsidR="002D20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а стадии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</w:t>
            </w:r>
            <w:r w:rsidR="002D20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ия</w:t>
            </w:r>
            <w:r w:rsidRPr="004E72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4E726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72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Для создания и обеспечения деятельности Центра продвижения продукции морского зверобойного промысла, сертификации и проведения аукционной торговли требуется привлечение финансовых средств. До настоящего времени источник и объемы </w:t>
            </w:r>
            <w:r w:rsidRPr="004E72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финансирования не определены. </w:t>
            </w:r>
          </w:p>
          <w:p w:rsidR="00A93A92" w:rsidRPr="00C11A0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72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Сроки реализации мероприятия будут определены дополнительно.</w:t>
            </w:r>
          </w:p>
        </w:tc>
      </w:tr>
      <w:tr w:rsidR="00A93A92" w:rsidRPr="00C61A61" w:rsidTr="008C37F8">
        <w:trPr>
          <w:trHeight w:val="778"/>
        </w:trPr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14633" w:type="dxa"/>
            <w:gridSpan w:val="2"/>
            <w:vAlign w:val="center"/>
          </w:tcPr>
          <w:p w:rsidR="00A93A92" w:rsidRPr="00C11A05" w:rsidRDefault="00A93A92" w:rsidP="00A93A92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Задача «Снятие инфраструктурных ограничений, прежде всего в сфере транспорта, энергетики и информационно-телекоммуникационных технологий, для комплексного социально-экономического развития Чукотского автономного округа»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2.1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стратегические документы социально-экономического, пространственного развития муниципальных образований Чукотского автономного округа в части прогнозных параметров численности населения и развития промышленного производства</w:t>
            </w:r>
          </w:p>
        </w:tc>
        <w:tc>
          <w:tcPr>
            <w:tcW w:w="9922" w:type="dxa"/>
          </w:tcPr>
          <w:p w:rsidR="001725B7" w:rsidRDefault="001725B7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</w:p>
          <w:p w:rsidR="00A93A92" w:rsidRPr="00875088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750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Стратегии муниципальных образований Чукотского автономного округа  разработаны в двух муниципальных образованиях из семи (городской округ Анадырь и Анадырский муниципальный район). </w:t>
            </w:r>
          </w:p>
          <w:p w:rsidR="00A93A92" w:rsidRPr="00C11A0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750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Стратегий осуществляется в соответствии с приоритетами, целями и задачами Стратегии пространственного развития и отраслевыми документами стратегического планирования Российской Федерации и отраслевыми документами стратегического планирования.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Доработать государственную программу Чукотского автономного округа «Развитие энергетики» в части разработки дополнительных регуляторных механизмов, стимулирующих компании к оптимизации затрат (необходимой валовой выручки) в долгосрочном периоде</w:t>
            </w:r>
          </w:p>
        </w:tc>
        <w:tc>
          <w:tcPr>
            <w:tcW w:w="9922" w:type="dxa"/>
          </w:tcPr>
          <w:p w:rsidR="00A93A92" w:rsidRPr="003F0BC1" w:rsidRDefault="001725B7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 w:rsidRPr="003F0BC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804946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49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Правительством округа утвержден Порядок предоставления из окружного бюджета субсидии на возмещение затрат на уплату процентов по кредитам (займам), привлечённым для реализации инвестиционного проекта «Газификация Анадырской ТЭЦ, в </w:t>
            </w:r>
            <w:proofErr w:type="spellStart"/>
            <w:r w:rsidRPr="008049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049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ПИР (1 этап)» (№ 464 от 22.12.2017).</w:t>
            </w:r>
          </w:p>
          <w:p w:rsidR="00A93A92" w:rsidRPr="003F0BC1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49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Департаментом промышленной политики Чукотского автономного округа заключено соглашение с АО «</w:t>
            </w:r>
            <w:proofErr w:type="spellStart"/>
            <w:r w:rsidRPr="008049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Чукотэнерго</w:t>
            </w:r>
            <w:proofErr w:type="spellEnd"/>
            <w:r w:rsidRPr="008049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 № 321 от 25.12.2017 на предоставление субсидии на возмещение затрат на уплату процентов по кредитам (займам), привлечённым для реализации инвестиционного проекта «Газификация Анадырской ТЭЦ, в </w:t>
            </w:r>
            <w:proofErr w:type="spellStart"/>
            <w:r w:rsidRPr="008049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049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ПИР» (1 этап), дополнительное соглашение от 23.12.2019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Доработать государственную программу Чукотского автономного округа «Развитие энергетики» в части разработки и расширения комплекса мер по привлечению </w:t>
            </w:r>
            <w:r w:rsidRPr="006E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негосударственных нетарифных источников инвестиций</w:t>
            </w: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сферу деятельности субъектов естественных монополи </w:t>
            </w:r>
          </w:p>
        </w:tc>
        <w:tc>
          <w:tcPr>
            <w:tcW w:w="9922" w:type="dxa"/>
          </w:tcPr>
          <w:p w:rsidR="006E6C0F" w:rsidRDefault="001725B7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Мероприятие </w:t>
            </w:r>
            <w:r w:rsidR="006E6C0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не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EF6158" w:rsidRPr="00C11A05" w:rsidRDefault="00EF6158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2.4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Доработать программные документы по развитию энергетической инфраструктуры Чукотского автономного округа: схемы и программ развития электроэнергетики, программ комплексного развития ЖКХ с целью учета изменения параметров прогнозного спроса и учета эластичности платежеспособного спроса от динамики тарифов на тепловую и электрическую энергию со стороны промышленных потребителей </w:t>
            </w:r>
          </w:p>
        </w:tc>
        <w:tc>
          <w:tcPr>
            <w:tcW w:w="9922" w:type="dxa"/>
          </w:tcPr>
          <w:p w:rsidR="001725B7" w:rsidRDefault="001725B7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Программные документы по развитию энергетической инфраструктуры</w:t>
            </w:r>
            <w:r w:rsidRPr="009C33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9C33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оработаны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F659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хема и программа развития электроэнергетики Чукотского автономного округа на 2019-2023 годы утверждена распоряжением Правительством Чукотского автономного округа от 29.04.2019 № 180-рп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C11A0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243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Разработаны и утверждены программы комплексного развития систем коммунальной инфраструктуры по муниципальным образованиям – городской округ Анадырь, городской округ </w:t>
            </w:r>
            <w:proofErr w:type="spellStart"/>
            <w:r w:rsidRPr="004243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Певек</w:t>
            </w:r>
            <w:proofErr w:type="spellEnd"/>
            <w:r w:rsidRPr="004243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городское поселение </w:t>
            </w:r>
            <w:proofErr w:type="spellStart"/>
            <w:r w:rsidRPr="004243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Билибино</w:t>
            </w:r>
            <w:proofErr w:type="spellEnd"/>
            <w:r w:rsidRPr="004243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Провиденский городской округ, Городской округ Эгвекинот (утверждены муниципальными правовыми актами), по сельским поселениям </w:t>
            </w:r>
            <w:r w:rsidRPr="00A237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Анадырского, Билибинского и Чукотского районов ведется работа по разработке программ.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11A05" w:rsidRDefault="00A93A92" w:rsidP="00C1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2.5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Внести корректировки в инвестиционные программы </w:t>
            </w:r>
            <w:proofErr w:type="spellStart"/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в связи с пересмотром стратегических документов развития муниципальных образования Чукотского автономного округа и Схемы и программы развития электроэнергетики Чукотского автономного округа</w:t>
            </w:r>
          </w:p>
        </w:tc>
        <w:tc>
          <w:tcPr>
            <w:tcW w:w="9922" w:type="dxa"/>
          </w:tcPr>
          <w:p w:rsidR="001725B7" w:rsidRDefault="001725B7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</w:p>
          <w:p w:rsidR="007B60BA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C33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Изменения в инвестиционные программы </w:t>
            </w:r>
            <w:proofErr w:type="spellStart"/>
            <w:r w:rsidRPr="009C33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ресурсоснабжающих</w:t>
            </w:r>
            <w:proofErr w:type="spellEnd"/>
            <w:r w:rsidRPr="009C33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организаций внесены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7B60BA" w:rsidRPr="00C11A05" w:rsidRDefault="007B60BA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93A92" w:rsidRPr="00C61A61" w:rsidTr="008C37F8">
        <w:tc>
          <w:tcPr>
            <w:tcW w:w="562" w:type="dxa"/>
          </w:tcPr>
          <w:p w:rsidR="00A93A92" w:rsidRPr="003D66AF" w:rsidRDefault="00A93A92" w:rsidP="00C11A05">
            <w:pPr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E92A1E">
              <w:rPr>
                <w:rFonts w:ascii="Times New Roman" w:hAnsi="Times New Roman" w:cs="Times New Roman"/>
                <w:sz w:val="22"/>
                <w:lang w:bidi="en-US"/>
              </w:rPr>
              <w:t>2.</w:t>
            </w:r>
            <w:r>
              <w:rPr>
                <w:rFonts w:ascii="Times New Roman" w:hAnsi="Times New Roman" w:cs="Times New Roman"/>
                <w:sz w:val="22"/>
                <w:lang w:bidi="en-US"/>
              </w:rPr>
              <w:t>6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технико-экономическое обоснование по возможности и вариантам использования альтернативных источников топливно-энергетических - СПГ, поставляемого с Южно-</w:t>
            </w:r>
            <w:proofErr w:type="spellStart"/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Тамбейского</w:t>
            </w:r>
            <w:proofErr w:type="spellEnd"/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газоконденсатного месторождения (Ямал СПГ)</w:t>
            </w:r>
          </w:p>
        </w:tc>
        <w:tc>
          <w:tcPr>
            <w:tcW w:w="9922" w:type="dxa"/>
          </w:tcPr>
          <w:p w:rsidR="001725B7" w:rsidRDefault="001725B7" w:rsidP="008C37F8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Мероприятие </w:t>
            </w:r>
            <w:r w:rsidR="002D20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на стадии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</w:t>
            </w:r>
            <w:r w:rsidR="002D20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ения</w:t>
            </w:r>
            <w:r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C11A05" w:rsidRDefault="00A93A92" w:rsidP="008C37F8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настоящее время на уровне Правительства РФ рассматриваются варианты внешнего энергоснабжения </w:t>
            </w:r>
            <w:proofErr w:type="spellStart"/>
            <w:r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Баимского</w:t>
            </w:r>
            <w:proofErr w:type="spellEnd"/>
            <w:r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ГОКа, одним из которых </w:t>
            </w:r>
            <w:r w:rsidR="007B60BA"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является </w:t>
            </w:r>
            <w:r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использовани</w:t>
            </w:r>
            <w:r w:rsidR="008C37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СПГ-платформы на мысе </w:t>
            </w:r>
            <w:proofErr w:type="spellStart"/>
            <w:r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Наглейнын</w:t>
            </w:r>
            <w:proofErr w:type="spellEnd"/>
            <w:r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B60BA"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spellStart"/>
            <w:r w:rsidR="007B60BA"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Чаунская</w:t>
            </w:r>
            <w:proofErr w:type="spellEnd"/>
            <w:r w:rsidR="007B60BA"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губа) </w:t>
            </w:r>
            <w:r w:rsidRPr="007B6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мощностью ~350 МВт. Окончательное решение не принято.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3D66AF" w:rsidRDefault="00A93A92" w:rsidP="00C11A05">
            <w:pPr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E92A1E">
              <w:rPr>
                <w:rFonts w:ascii="Times New Roman" w:hAnsi="Times New Roman" w:cs="Times New Roman"/>
                <w:sz w:val="22"/>
                <w:lang w:bidi="en-US"/>
              </w:rPr>
              <w:t>2.</w:t>
            </w:r>
            <w:r>
              <w:rPr>
                <w:rFonts w:ascii="Times New Roman" w:hAnsi="Times New Roman" w:cs="Times New Roman"/>
                <w:sz w:val="22"/>
                <w:lang w:bidi="en-US"/>
              </w:rPr>
              <w:t>7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Внедрить в деятельность региональных органов исполнительной власти цифровую платформу планирования, выбора вариантов развития энергосистемы и </w:t>
            </w:r>
            <w:r w:rsidRPr="00C1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оценки экономических (тарифных) последствий в части вопросов перспективного развития электроэнергетики Чукотского автономного округа </w:t>
            </w:r>
          </w:p>
        </w:tc>
        <w:tc>
          <w:tcPr>
            <w:tcW w:w="9922" w:type="dxa"/>
          </w:tcPr>
          <w:p w:rsidR="001725B7" w:rsidRDefault="001725B7" w:rsidP="008C37F8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Мероприятие </w:t>
            </w:r>
            <w:r w:rsidR="0002251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не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выполнено</w:t>
            </w:r>
          </w:p>
          <w:p w:rsidR="00216857" w:rsidRPr="00C11A05" w:rsidRDefault="00A93A92" w:rsidP="006E6C0F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ифров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ая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планирования, выбора вариантов развития энергосистемы и оценки экономических (тарифных) последствий в части вопросов перспективного развития электроэнергетики Чукотского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8C37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 внедрялась</w:t>
            </w:r>
            <w:r w:rsidR="006E6C0F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в</w:t>
            </w:r>
            <w:r w:rsidR="00216857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связи с </w:t>
            </w:r>
            <w:r w:rsidR="000C1718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нерентабельность</w:t>
            </w:r>
            <w:r w:rsidR="002133AD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</w:t>
            </w:r>
            <w:r w:rsidR="000C1718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внедрения </w:t>
            </w:r>
            <w:r w:rsidR="000F7509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0C1718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4302C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высокозатратность</w:t>
            </w:r>
            <w:r w:rsidR="002133AD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</w:t>
            </w:r>
            <w:r w:rsidR="000C1718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обслуживания цифровой платформы</w:t>
            </w:r>
            <w:r w:rsidR="006E6C0F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3D66AF" w:rsidRDefault="00A93A92" w:rsidP="00C11A05">
            <w:pPr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E92A1E">
              <w:rPr>
                <w:rFonts w:ascii="Times New Roman" w:hAnsi="Times New Roman" w:cs="Times New Roman"/>
                <w:sz w:val="22"/>
                <w:lang w:bidi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2"/>
                <w:lang w:bidi="en-US"/>
              </w:rPr>
              <w:t>8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Определить источник финансирования, сроки и ответственных за повышение доступности (увеличение количества рейсов и направлений при снижении цены) межрегионального пассажирского авиасообщения </w:t>
            </w:r>
          </w:p>
        </w:tc>
        <w:tc>
          <w:tcPr>
            <w:tcW w:w="9922" w:type="dxa"/>
          </w:tcPr>
          <w:p w:rsidR="00643141" w:rsidRDefault="00643141" w:rsidP="00A93A92">
            <w:pPr>
              <w:ind w:left="113" w:right="114" w:firstLine="25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</w:p>
          <w:p w:rsidR="00A93A92" w:rsidRPr="00C41325" w:rsidRDefault="00A93A92" w:rsidP="00A93A92">
            <w:pPr>
              <w:ind w:left="113" w:right="114" w:firstLine="25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целях повышения транспортной доступности жителей Чукотского автономного округа в 2020 году откроются три новых межрегиональных маршрута: Владивосток-Анадырь-Владивосток, Красноярск-Анадырь-Красноярск, Якутск-Певек-Якутск. Также с 2019 года выполняются рейсы по новому маршруту Магадан-Певек-Магадан.</w:t>
            </w:r>
          </w:p>
          <w:p w:rsidR="00A93A92" w:rsidRPr="00C4132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Рейсы будут выполняться/</w:t>
            </w:r>
            <w:r w:rsidR="00961A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выполняются в рамках Постановления Правительства Российской Федерации от 25.12.2013 № 1242 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сети». Источник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федеральный бюджет/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окружной бюджет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A93A92" w:rsidRPr="00C4132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маршруту Красноярск-Анадырь-Красноярск объем софинансирования из федерального и окружного бюджетов – 39/61%. Размер субсидии от региона составит 19,5 млн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руб. </w:t>
            </w:r>
          </w:p>
          <w:p w:rsidR="00A93A92" w:rsidRPr="00C4132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маршруту Владивосток-Анадырь-Владивосток объем софинансирования из федерального и окружного бюджетов – 39/61%. Размер субсидии от региона составит 16,0 млн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руб. </w:t>
            </w:r>
          </w:p>
          <w:p w:rsidR="00A93A92" w:rsidRPr="001363FA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маршрутам Магадан-Певек-Магадан, Якутск-Певек-Якутск предоставление субсидии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будет осуществляться только за счет федерального бюджета. 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61A61" w:rsidRDefault="00A93A92" w:rsidP="00C11A05">
            <w:pPr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>
              <w:rPr>
                <w:rFonts w:ascii="Times New Roman" w:hAnsi="Times New Roman" w:cs="Times New Roman"/>
                <w:sz w:val="22"/>
                <w:lang w:bidi="en-US"/>
              </w:rPr>
              <w:t>2.9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Разработать подробное технико-экономическое обоснование различных вариантов обеспечения населения и бизнеса Чукотского автономного округа качественным высокоскоростным интернетом по приемлемым (сопоставимым со среднероссийскими) ценам</w:t>
            </w:r>
          </w:p>
        </w:tc>
        <w:tc>
          <w:tcPr>
            <w:tcW w:w="9922" w:type="dxa"/>
          </w:tcPr>
          <w:p w:rsidR="00643141" w:rsidRDefault="00643141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</w:p>
          <w:p w:rsidR="00A93A92" w:rsidRPr="0007515E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Министерством цифрового развития, связи и массовых коммуникаций Российской Федерации проработаны два варианта обеспечения населения и бизнеса Чукотского автономного округа качественным высокоскоростным интернетом: </w:t>
            </w:r>
          </w:p>
          <w:p w:rsidR="00A93A92" w:rsidRPr="0007515E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1)</w:t>
            </w: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  <w:t xml:space="preserve">Создание сухопутных ВОЛС из Магаданской области в наиболее крупные населенные пункты на территории региона (г. </w:t>
            </w:r>
            <w:proofErr w:type="spellStart"/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Билибино</w:t>
            </w:r>
            <w:proofErr w:type="spellEnd"/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г. Певек и др.) в рамках проектируемых энергетическими компаниями линий электроснабжения. </w:t>
            </w:r>
          </w:p>
          <w:p w:rsidR="00A93A92" w:rsidRPr="0007515E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Прокладка ВОЛС ведется инвесторами самостоятельно в рамках строительства </w:t>
            </w:r>
            <w:proofErr w:type="spellStart"/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энергомоста</w:t>
            </w:r>
            <w:proofErr w:type="spellEnd"/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</w:t>
            </w:r>
            <w:proofErr w:type="spellStart"/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грозоотводном</w:t>
            </w:r>
            <w:proofErr w:type="spellEnd"/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тросе. Пропускная способность ВОЛС составит не менее 80 Гбит/с. </w:t>
            </w:r>
          </w:p>
          <w:p w:rsidR="00A93A92" w:rsidRPr="0007515E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2)</w:t>
            </w: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  <w:t xml:space="preserve">Создание подводной ВОЛС (ПВОЛС) на участке г. Петропавловск-Камчатский - г. Анадырь со сроком реализации 2019-2022 гг. </w:t>
            </w:r>
          </w:p>
          <w:p w:rsidR="00A93A92" w:rsidRPr="0007515E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Строительство ПВОЛС предусмотрено в рамках мероприятия по присоединению Чукотского автономного округа к единой сети электросвязи Российской Федерации (далее - Мероприятие). Мероприятие реализуется в соответствии с федеральным проектом «Информационная инфраструктура» национальной программы «Цифровая экономика Российской Федерации».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C61A61" w:rsidRDefault="00A93A92" w:rsidP="00C11A05">
            <w:pPr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>
              <w:rPr>
                <w:rFonts w:ascii="Times New Roman" w:hAnsi="Times New Roman" w:cs="Times New Roman"/>
                <w:sz w:val="22"/>
                <w:lang w:bidi="en-US"/>
              </w:rPr>
              <w:lastRenderedPageBreak/>
              <w:t>2.10</w:t>
            </w:r>
          </w:p>
        </w:tc>
        <w:tc>
          <w:tcPr>
            <w:tcW w:w="4711" w:type="dxa"/>
          </w:tcPr>
          <w:p w:rsidR="00A93A92" w:rsidRPr="00C11A05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Определить совместно с </w:t>
            </w:r>
            <w:proofErr w:type="spellStart"/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Минкомсвязью</w:t>
            </w:r>
            <w:proofErr w:type="spellEnd"/>
            <w:r w:rsidRPr="00C11A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России и ПАО «Ростелеком» источник финансирования, сроки и ответственных за обеспечение населения и бизнеса Чукотского автономного округа качественным высокоскоростным интернетом по приемлемым ценам по выбранному варианту (прокладка ВОЛС)</w:t>
            </w:r>
          </w:p>
        </w:tc>
        <w:tc>
          <w:tcPr>
            <w:tcW w:w="9922" w:type="dxa"/>
          </w:tcPr>
          <w:p w:rsidR="00643141" w:rsidRDefault="00643141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</w:p>
          <w:p w:rsidR="00A93A92" w:rsidRPr="00C4132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соответствии с Постановлением Правительства Рос</w:t>
            </w:r>
            <w:r w:rsidR="00961A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сийской Федерации от 29.04.2019    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523 утверждены Правила предоставления субсидии на финансовое обеспечение расходов, связанных с реализацией мероприятия по присоединению Чукотского автономного округа к единой сети электросвязи Российской Федерации и Положение о проведении конкурсного отбора на предоставление субсидии на финансовое обеспечение расходов, связанных с реализацией мероприятия по присоединению Чукотского автономного округа к единой сети электросвязи Российской Федерации» (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далее - 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Мероприятие).</w:t>
            </w:r>
          </w:p>
          <w:p w:rsidR="00A93A92" w:rsidRPr="00C41325" w:rsidRDefault="00A93A92" w:rsidP="00A93A92">
            <w:pPr>
              <w:ind w:left="113" w:right="114" w:firstLine="25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Мероприятие реализуется в рамках федерального проекта «Информационная инфраструктура» национальной программы «Цифровая экономика  Российской Федерации».</w:t>
            </w:r>
          </w:p>
          <w:p w:rsidR="00A93A92" w:rsidRPr="00C4132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Мероприятие предусматривает в </w:t>
            </w:r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период с 2019 по 2022 гг. за 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счет средств субсидий строительство подводной волоконно-оптической линии связи (ПВОЛС) по маршруту г. Петропавл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овск-Камчатский - г. Анадырь, и с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2022 года эксплуатацию и содержание ПВОЛС за счет средств получателя субсидии. </w:t>
            </w:r>
          </w:p>
          <w:p w:rsidR="00A93A92" w:rsidRPr="00C4132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Финансирование Мероприятия обеспечивается в рамках государственной программы Российской Федерации «Информационное общество (2011-2020 годы)» (далее - Программа) и предусмотрено Федеральным законом от 29.11.2018 № 459-ФЗ «О федеральном бюджете на 2019 год и на пла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новый период 2020 и 2021 годов»</w:t>
            </w: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C41325" w:rsidRDefault="00A93A92" w:rsidP="00A93A92">
            <w:pPr>
              <w:shd w:val="clear" w:color="auto" w:fill="FFFFFF"/>
              <w:autoSpaceDE w:val="0"/>
              <w:autoSpaceDN w:val="0"/>
              <w:adjustRightInd w:val="0"/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Минкомсвязью</w:t>
            </w:r>
            <w:proofErr w:type="spellEnd"/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России с ПАО «Ростелеком» заключено соглашение от 18.10.2019 № 071-11-2019-003 о предоставлении из федерального бюджета субсидии на финансовое обеспечение расходов, связанных с реализацией мероприятия. </w:t>
            </w:r>
          </w:p>
          <w:p w:rsidR="00A93A92" w:rsidRPr="00C11A05" w:rsidRDefault="00A93A92" w:rsidP="00A93A92">
            <w:pPr>
              <w:ind w:left="113" w:right="114" w:firstLine="28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ПАО «Ростелеком» завершен выбор подрядной организации на право проектирования и строительства ПВОЛС «г. Петропавловск-Камчатский - г. Анадырь». Соответствующий договор заключен ПАО «Ростелеком» с ООО «Булат». </w:t>
            </w:r>
          </w:p>
        </w:tc>
      </w:tr>
      <w:tr w:rsidR="00A93A92" w:rsidRPr="00C61A61" w:rsidTr="008C37F8">
        <w:trPr>
          <w:trHeight w:val="499"/>
        </w:trPr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14633" w:type="dxa"/>
            <w:gridSpan w:val="2"/>
            <w:vAlign w:val="center"/>
          </w:tcPr>
          <w:p w:rsidR="00A93A92" w:rsidRPr="001363FA" w:rsidRDefault="00A93A92" w:rsidP="00A93A92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Задача «Повышение качества предоставления услуг социальной сферы»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F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здравоохранения Чукотского автономного округа на 2016-2020 годы» в части включения мероприятий, направленных на реализацию Указа Президента Российской Федерации от 7 мая 2018 г. № 204</w:t>
            </w:r>
          </w:p>
        </w:tc>
        <w:tc>
          <w:tcPr>
            <w:tcW w:w="9922" w:type="dxa"/>
          </w:tcPr>
          <w:p w:rsidR="00A93A92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9E70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государственную  программу «Развитие здравоохранения Чукотского автономного округа» утвержденн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ую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Постановлением Правительства Чуко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тского автономного округа от 30.03.2016 №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включены мероприятия, направленные на реализацию Указа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.05.2018 №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204 в сфере здравоохранения  по следующим региональным проектам национального проекта «Здравоохранение»:</w:t>
            </w:r>
          </w:p>
          <w:p w:rsidR="00A93A92" w:rsidRPr="009E70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 Региональный проект «Разработка и реализация программы системной поддержки и повышения качества жизни старшего поколения "Старшее поколение";</w:t>
            </w:r>
          </w:p>
          <w:p w:rsidR="00A93A92" w:rsidRPr="009E70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Региональный проект "Развитие первичной медико-санитарной помощи" федерального проекта "Развитие системы оказания первичной медико-санитарной помощи";</w:t>
            </w:r>
          </w:p>
          <w:p w:rsidR="00A93A92" w:rsidRPr="009E70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Региональный проект "Борьба с сердечно-сосудистыми заболеваниями" федерального проекта "Борьба с сердечно-сосудистыми заболеваниями";</w:t>
            </w:r>
          </w:p>
          <w:p w:rsidR="00A93A92" w:rsidRPr="009E70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Региональный проект "Борьба с онкологическими заболеваниями" федерального проекта "Борьба с онкологическими заболеваниями";</w:t>
            </w:r>
          </w:p>
          <w:p w:rsidR="00A93A92" w:rsidRPr="009E70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Региональный проект "Создание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(РМИС ЧАО)"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(ЕГИСЗ)";</w:t>
            </w:r>
          </w:p>
          <w:p w:rsidR="00A93A92" w:rsidRPr="009E70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 федерального проекта "Развитие детского здравоохранения, включая создание современной инфраструктуры оказания медицинской помощи детям";</w:t>
            </w:r>
          </w:p>
          <w:p w:rsidR="00A93A92" w:rsidRPr="009E70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Региональный проект "Обеспечение медицинских организаций системы здравоохранения квалифицированными кадрами" федерального проекта "Обеспечение медицинских организаций системы здравоохранения квалифицированными кадрами";</w:t>
            </w:r>
          </w:p>
          <w:p w:rsidR="006E6C0F" w:rsidRPr="006E6C0F" w:rsidRDefault="00A93A92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 вышеуказанные мероприятия имеют финансовое обеспечение за счет средств федерального</w:t>
            </w:r>
            <w:r w:rsidR="00AC6F4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бюджета – 2 058 050,5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окружного бюджет</w:t>
            </w:r>
            <w:r w:rsidR="00AC6F4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 - 414 033,4 </w:t>
            </w:r>
            <w:proofErr w:type="spellStart"/>
            <w:r w:rsidR="00AC6F4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тыс.рублей</w:t>
            </w:r>
            <w:proofErr w:type="spellEnd"/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73105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1363FA" w:rsidRDefault="00A93A92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Мероприятия Регионального проекта "Развитие экспорта медицинских услуг" 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федерального проекта "Развитие экспорта медицинских услуг"</w:t>
            </w:r>
            <w:r w:rsidR="00AC6F4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Регионального проекта "Формирование системы мотивации граждан к здоровому образу жизни, включая здоровое питание и отказ от вредных привычек" федерального проекта "Формирование системы мотивации граждан к здоровому образу жизни, включая здоровое питание и отказ от вредных привычек" (Укрепление общественного здоровья)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не требуют финансового обеспечения.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3.2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BE5F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здравоохранения Чукотского автономного округа на 2016-2020 годы» в части включения мероприятий, направленных на развитие современных (дистанционных/цифровых и передвижных) форм оказания услуг здравоохранения с целью повышения их доступности</w:t>
            </w:r>
          </w:p>
        </w:tc>
        <w:tc>
          <w:tcPr>
            <w:tcW w:w="9922" w:type="dxa"/>
          </w:tcPr>
          <w:p w:rsidR="00A93A92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9E70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государственную  программу «Развитие здравоохранения Чукотского автономного округа» включены мероприятия, направленные на развитие современных дистанционных/цифровых и передвижных) форм оказания услуг здравоохранения с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целью повышения их доступности: в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недрена подсистема удаленных медицинских консультаций, утвержден регламент оказания медицинской помощи с применением телемедицинских технологий (приказ ДЗО от 21.06.2019), внедрена система выписки электронных льготных медицинских рецептов (приказ ДЗО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</w:t>
            </w: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424 от 27.06.2019). </w:t>
            </w:r>
          </w:p>
          <w:p w:rsidR="00A93A92" w:rsidRPr="009E70FF" w:rsidRDefault="00A93A92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E70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Мероприятие имеет финансовое обеспечение за счет средств федерального бюджета</w:t>
            </w:r>
            <w:r w:rsidR="00AC6F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AC6F4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заключены ГК: на сумму 8 000,0 </w:t>
            </w:r>
            <w:proofErr w:type="spellStart"/>
            <w:r w:rsidR="00AC6F4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тыс.руб</w:t>
            </w:r>
            <w:proofErr w:type="spellEnd"/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4A309B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3.3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BE5F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здравоохранения Чукотского автономного округа на 2016-2020 годы» в части включения мероприятий, направленных на увеличение периода активного долголетия и продолжительности здоровой жизни</w:t>
            </w:r>
          </w:p>
        </w:tc>
        <w:tc>
          <w:tcPr>
            <w:tcW w:w="9922" w:type="dxa"/>
          </w:tcPr>
          <w:p w:rsidR="00A93A92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CD4130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75744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государственную  программу «Развитие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Чукотского автономного округа»</w:t>
            </w:r>
            <w:r w:rsidRPr="0075744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включены мероприятия, направленные на 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еплению общественного здоровья.</w:t>
            </w:r>
            <w:r w:rsidR="005E7C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757440" w:rsidRDefault="00CD4130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</w:t>
            </w:r>
            <w:r w:rsidR="00D410A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не требует финансового обеспечения. 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 </w:t>
            </w:r>
          </w:p>
        </w:tc>
      </w:tr>
      <w:tr w:rsidR="00A93A92" w:rsidRPr="00EE5971" w:rsidTr="008C37F8">
        <w:tc>
          <w:tcPr>
            <w:tcW w:w="562" w:type="dxa"/>
          </w:tcPr>
          <w:p w:rsidR="00A93A92" w:rsidRPr="00EE5971" w:rsidRDefault="00A93A92" w:rsidP="001363FA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EE59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3.4</w:t>
            </w:r>
          </w:p>
        </w:tc>
        <w:tc>
          <w:tcPr>
            <w:tcW w:w="4711" w:type="dxa"/>
          </w:tcPr>
          <w:p w:rsidR="00A93A92" w:rsidRPr="00EE5971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BE5F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«Развитие здравоохранения Чукотского автономного округа на 2016-2020 годы» в части включения мероприятий, направленных на завершение формирования сети медицинских организаций первичного звена </w:t>
            </w:r>
            <w:r w:rsidRPr="00BE5F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здравоохранения с использованием в сфере здравоохранения геоинформационной системы с учётом необходимости строительства врачебных амбулаторий, фельдшерских и фельдшерско-акушерских пунктов в населённых пунктах с численностью населения от 100 человек до 2 тыс. человек, а также с учётом использования мобильных медицинских комплексов в населённых пунктах с численностью населения менее 100 человек</w:t>
            </w:r>
          </w:p>
        </w:tc>
        <w:tc>
          <w:tcPr>
            <w:tcW w:w="9922" w:type="dxa"/>
          </w:tcPr>
          <w:p w:rsidR="00A93A92" w:rsidRPr="006E6C0F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Мероприятие выполнено</w:t>
            </w:r>
            <w:r w:rsidR="0023119D" w:rsidRPr="006E6C0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частично</w:t>
            </w:r>
            <w:r w:rsidR="00A93A9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6E6C0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EE59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государственную  программу «Развитие здравоохранения Чукотского автономного округа»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включены мероприятия, направленные на </w:t>
            </w:r>
            <w:r w:rsidRPr="00EE59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учётом использования мобильных медицинских комплексов в населённых пунктах с численностью населения менее 100 человек</w:t>
            </w:r>
            <w:r w:rsidR="005E7C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(далее - мероприятия)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EE59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="00961A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рамках реализации</w:t>
            </w:r>
            <w:r w:rsidRPr="00EE59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подпрограммы "Совершенствование оказания специализированной, включая высокотехнологичную, медицинской помощи, </w:t>
            </w:r>
            <w:r w:rsidRPr="00EE59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скорой, в том числе скорой специализированной, медицинской </w:t>
            </w:r>
            <w:r w:rsidR="00961A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помощи, </w:t>
            </w:r>
            <w:r w:rsidR="00961A5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медицинской эвакуации"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2021 году планируется  приобретение передвижных мобильных комплексов</w:t>
            </w:r>
            <w:r w:rsidR="00CD4130" w:rsidRPr="006E6C0F">
              <w:rPr>
                <w:sz w:val="24"/>
              </w:rPr>
              <w:t xml:space="preserve"> </w:t>
            </w:r>
            <w:r w:rsidR="00CD4130" w:rsidRPr="006E6C0F">
              <w:rPr>
                <w:rFonts w:ascii="Times New Roman" w:hAnsi="Times New Roman" w:cs="Times New Roman"/>
                <w:sz w:val="24"/>
              </w:rPr>
              <w:t xml:space="preserve">за счет федерального бюджета на сумму 14 575,5 тыс. рублей. </w:t>
            </w:r>
            <w:r w:rsidR="00CD413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5B2812" w:rsidRPr="0023119D" w:rsidRDefault="0023119D" w:rsidP="0023119D">
            <w:pPr>
              <w:ind w:left="113" w:right="114" w:firstLine="39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населённых пунктах с численностью населения от 100 человек до 2 тыс. человек медицинская помощь обеспечивается комплексом медицинских учреждений округа в соответствии с принципами </w:t>
            </w:r>
            <w:proofErr w:type="spellStart"/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этапности</w:t>
            </w:r>
            <w:proofErr w:type="spellEnd"/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порядками оказания медицинской помощи. В рамках реализации</w:t>
            </w:r>
            <w:r w:rsidR="00A93A9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регионального проекта «Развитие первичной медико-санитарной по</w:t>
            </w:r>
            <w:r w:rsidR="00961A5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мощи» планируется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данных населенных пунктах</w:t>
            </w:r>
            <w:r w:rsidR="00961A5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строительство</w:t>
            </w:r>
            <w:r w:rsidR="00A93A92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фельдшерско-акушерских пунктов, 1 участковой больницы и 1 врачебной амбулатории. По факту утверждения регионального проекта, будут внесены изменения в государственную программу</w:t>
            </w:r>
            <w:r w:rsid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3.5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утверждение региональной стратегии развития санитарной авиации  </w:t>
            </w:r>
          </w:p>
        </w:tc>
        <w:tc>
          <w:tcPr>
            <w:tcW w:w="9922" w:type="dxa"/>
          </w:tcPr>
          <w:p w:rsidR="00643141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Pr="00EE59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D4130" w:rsidRDefault="00A93A92" w:rsidP="00CD413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59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Утверждена региональная стратегия развития санитарной авиации в Чукотском автономном округе до 2024 года Распоряжением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от 25.06.2019 № 275-рп. </w:t>
            </w:r>
          </w:p>
          <w:p w:rsidR="00A93A92" w:rsidRPr="00EE5971" w:rsidRDefault="00F358F5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Данной стратегией предусмотрено р</w:t>
            </w:r>
            <w:r w:rsidR="00CD413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азвитие системы оказания скорой медицинской помощи с использованием санитарной авиации в Чукотском автономном округе в формате 24/7 на основе единой службы скорой медицинской помощи и медицины катастроф в трехуровневой системе оказания медицинской помощи в экстренной форме. 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3.6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333A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«Развитие здравоохранения Чукотского автономного округа на 2016-2020 годы» в части </w:t>
            </w:r>
            <w:r w:rsidRPr="007C7A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включения мероприятий</w:t>
            </w:r>
            <w:r w:rsidRPr="00333A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направленных на создание региональной системы диспетчеризации скорой медицинской помощи</w:t>
            </w:r>
          </w:p>
        </w:tc>
        <w:tc>
          <w:tcPr>
            <w:tcW w:w="9922" w:type="dxa"/>
          </w:tcPr>
          <w:p w:rsidR="00643141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</w:p>
          <w:p w:rsidR="00A93A92" w:rsidRPr="00711BFF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1B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2019 году в государственную  программу «Развитие здравоохранения Чукотского автономного округа» в рамках реализации  регионального проекта "Создание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(РМИС ЧАО)"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 </w:t>
            </w:r>
            <w:r w:rsidRPr="007C7A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включены целевые индикаторы (п</w:t>
            </w:r>
            <w:r w:rsidR="007C7A2F" w:rsidRPr="007C7A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оказатели).</w:t>
            </w:r>
            <w:r w:rsidR="007C7A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11B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Подпрограммы - 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Федерации.</w:t>
            </w:r>
          </w:p>
          <w:p w:rsidR="00A93A92" w:rsidRPr="00160501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11B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В рамках реализации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 в  2020 году  будет проведен открытый аукцион на право заключения ГК по доработке информационной системы отделений СМП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3.7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Создание регионального проектного офиса по созданию и внедрению «Новой модели медицинской организации, оказывающей первичную медико-санитарную помощь» в ГБУЗ «Чукотская окружная больница» г. Анадырь, и филиалы в г. </w:t>
            </w:r>
            <w:proofErr w:type="spellStart"/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Билибино</w:t>
            </w:r>
            <w:proofErr w:type="spellEnd"/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ГО Эгвекинот</w:t>
            </w:r>
          </w:p>
        </w:tc>
        <w:tc>
          <w:tcPr>
            <w:tcW w:w="9922" w:type="dxa"/>
          </w:tcPr>
          <w:p w:rsidR="00A93A92" w:rsidRPr="0007515E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07515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Создан региональный проектный офис по созданию и внедрению «Новой модели медицинской организации, оказывающей первичную медико-санитарную помощь» приказом Департамента здравоохранения Чукотского автономного округа от 19.12.2019 № 1128.</w:t>
            </w:r>
          </w:p>
          <w:p w:rsidR="00A93A92" w:rsidRPr="0007515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ММЦ г. </w:t>
            </w:r>
            <w:proofErr w:type="spellStart"/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Билибино</w:t>
            </w:r>
            <w:proofErr w:type="spellEnd"/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ММЦ ГО Эгвекинот с 01.02.2019 вошли в состав ГБУЗ «Чукотская окружная больница».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3.8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утверждение региональной программы «Развитие детского здравоохранения Чукотского автономного округа, включая создание современной инфраструктуры оказания медицинской помощи детям», включающая создание современной инфраструктуры оказания медицинской помощи детям, развитие материально-технической базы медицинских организаций, оказывающих помощь детям, развитие профилактического направления медицинской помощи детям, улучшение репродуктивного здоровья подростков, актуализацию схем маршрутизации беременных женщин с преждевременными родами для улучшения помощи недоношенным новорожденным, а также повышение квалификации врачей, оказывающих помощь детям</w:t>
            </w:r>
          </w:p>
        </w:tc>
        <w:tc>
          <w:tcPr>
            <w:tcW w:w="9922" w:type="dxa"/>
          </w:tcPr>
          <w:p w:rsidR="00A93A92" w:rsidRDefault="00643141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Default="00A93A92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611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Утверждена региональная программа «Развитие детского здравоохранения, включая создание современной инфраструктуры оказания медицинской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в Чукотском автономном округе,</w:t>
            </w:r>
            <w:r w:rsidRPr="007611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r w:rsidRPr="007611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7611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Правительства Чукотского  автономного округа от 21.06.2019 № 268-рп</w:t>
            </w:r>
            <w:r w:rsidR="00961A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Региональная программа «Развитие детского здравоохранения, включая создание современной инфраструктуры оказания медицинской помощи детям» в Чукотском автономном округе содержит следующие мероприятия: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Развитие материально-технической базы детских поликлинических отделений медицинских организаций Чукотского автономного округа;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Развитие ранней диагностики заболеваний органов репродуктивной сферы у детей в возрасте 15-17 лет в рамках проведения профилактических осмотров;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Формирование приверженности к здоровому образу жизни у детей и их родителей;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Проведение информационно-коммуникационной компании по вопросам охраны семейных ценностей и репродуктивного здоровья;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Повышение квалификации врачей и средних медицинских работников педиатрической и акушерско-гинекологической служб;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Повышение квалификации врачей педиатрической и акушерско-гинекологической служб в федеральных </w:t>
            </w:r>
            <w:proofErr w:type="spellStart"/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симуляционных</w:t>
            </w:r>
            <w:proofErr w:type="spellEnd"/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центрах;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Реализация программы «родов</w:t>
            </w:r>
            <w:r w:rsidR="00E60AE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й сертификат»;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Улучшение качества диспансерного наблюдения за детьми в течение первого года 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жизни;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Развитие профилактического направления в педиатрии;</w:t>
            </w:r>
          </w:p>
          <w:p w:rsidR="00912FD9" w:rsidRPr="006E6C0F" w:rsidRDefault="00912FD9" w:rsidP="00961A50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Профилактика де</w:t>
            </w:r>
            <w:r w:rsidR="00961A5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тской заболеваемости.</w:t>
            </w:r>
          </w:p>
          <w:p w:rsidR="002B5DEE" w:rsidRPr="006E6C0F" w:rsidRDefault="00FC41F0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реализацию мероприятий региональной программы предусмотрено средств федерального бюджета – 9 625,7  тыс. рублей,  окружного бюджета - 838,8 тыс. рублей.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3.9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утверждение региональной программы борьбы с сердечно-сосудистыми заболеваниями</w:t>
            </w:r>
          </w:p>
        </w:tc>
        <w:tc>
          <w:tcPr>
            <w:tcW w:w="9922" w:type="dxa"/>
          </w:tcPr>
          <w:p w:rsidR="00A93A92" w:rsidRDefault="00643141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Default="00A93A92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611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Утверждена региональная программа «Борьба с сердечно-сосудистыми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в Чукотском автономном округе,</w:t>
            </w:r>
            <w:r w:rsidRPr="007611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распоряжением Правительства Чукотского автономного округа от 25.06.2019 № 276-рп</w:t>
            </w:r>
            <w:r w:rsidR="00E60A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Региональная программа «Борьба с сердечно-сосудистыми заболеваниями» в Чукотском автономном округе содержит следующие </w:t>
            </w:r>
            <w:r w:rsidR="00BE5DCC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- Мероприятия по внедрению и соблюдению клинических рекомендаций и протоколов ведения больных с сердечно-сосудистыми заболеваниями;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Мероприятия по усилению внутреннего контроля качества оказания медицинской помощи;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Мероприятия по работе с факторами риска развития сердечно-сосудистых заболеваний;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Мероприятия по организации первичной медико-санитарной помощи;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Мероприятия по вторичной профилактике осложнений при сердечно-сосудистых заболеваниях;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Комплекс мер направленных на совершенствование организации диспансерного наблюдения больных сердечно-сосудистыми заболеваниями;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Мероприятия по совершенствованию оказания скорой медицинской помощи больным сердечно-сосудистыми заболеваниями;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Развитие структуры специализированной, в том числе высокотехнологичной медицинской помощи;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Мероприятия по совершенствованию системы реабилитации пациентов с сердечно-сосудистыми заболеваниями;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Кадровое обеспечение системы оказания медицинской помощи больным ССЗ;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Обеспечение возможности оказания телемедицинских консультаций для медицинских организаций Чукотского автономного округа;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Обеспечение взаимодействия с профильными национальными медицинск</w:t>
            </w:r>
            <w:r w:rsidR="00FC41F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ими исследовательскими центрами;</w:t>
            </w:r>
          </w:p>
          <w:p w:rsidR="00E60AEE" w:rsidRPr="006E6C0F" w:rsidRDefault="00E60AEE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- Автоматизация деятельности учреждений оказывающих медицинскую помощь больным с сердечно-сосудистыми заболеваниями.</w:t>
            </w:r>
          </w:p>
          <w:p w:rsidR="002B5DEE" w:rsidRPr="006E6C0F" w:rsidRDefault="00FC41F0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 реализацию мероприятий региональной программы предусмотрено средств федерального бюджета </w:t>
            </w:r>
            <w:r w:rsidR="00E60AE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– 61 418 ,5 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тыс. рублей,</w:t>
            </w:r>
            <w:r w:rsidR="00E60AE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окружного бюджета - 229,0 тыс. рублей.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1363FA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3.10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утверждение региональной программы борьбы с онкологическими заболеваниями</w:t>
            </w:r>
          </w:p>
        </w:tc>
        <w:tc>
          <w:tcPr>
            <w:tcW w:w="9922" w:type="dxa"/>
          </w:tcPr>
          <w:p w:rsidR="00A93A92" w:rsidRDefault="00643141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FC41F0" w:rsidRDefault="00A93A92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Утверждена региональная программа «Борьба с онкологическими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в Чукотском автономном округе,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Правительства Чукотского автономного округа от 25.06.2019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277-рп</w:t>
            </w:r>
            <w:r w:rsidR="00FC41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Региональная программа «Борьба с онкологическими заболеваниями» в Чукотском автономном округе содержит следующие мероприятия: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Противодействие факторам риска развития онкологических заболеваний;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Комплекс мер первичной профилактики онкологических заболеваний;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Комплекс мер вторичной профилактики онкологических заболеваний;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Развитие амбулаторно-поликлинического звена онкологической службы;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Совершенствование специализированной медицинской помощи;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Реабилитация онкологических пациентов;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Комплекс мер по развитию паллиативной помощи онкологическим пациентам;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Организационно-методическое сопровождение деятельности онкологической службы;</w:t>
            </w:r>
          </w:p>
          <w:p w:rsidR="00FC41F0" w:rsidRPr="006E6C0F" w:rsidRDefault="00FC41F0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Обеспечение укомплектованности кадрами медицинских организаций, оказывающих медицинскую помощь пациентам с онкологическими заболеваниями.</w:t>
            </w:r>
          </w:p>
          <w:p w:rsidR="00A93A92" w:rsidRPr="006E6C0F" w:rsidRDefault="00FC41F0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реализацию мероприятий региональной программы предусмотрено средств федерального бюджета - 130 702,1 тыс.</w:t>
            </w:r>
            <w:r w:rsidR="00C22141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1363FA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1363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3.11</w:t>
            </w:r>
          </w:p>
        </w:tc>
        <w:tc>
          <w:tcPr>
            <w:tcW w:w="4711" w:type="dxa"/>
          </w:tcPr>
          <w:p w:rsidR="00A93A92" w:rsidRPr="001363FA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333A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«Развитие здравоохранения Чукотского автономного округа на 2016-2020 годы» в части включения мероприятий, направленных на 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</w:t>
            </w:r>
            <w:r w:rsidRPr="00333A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том числе с использованием дистанционных образовательных технологий </w:t>
            </w:r>
          </w:p>
        </w:tc>
        <w:tc>
          <w:tcPr>
            <w:tcW w:w="9922" w:type="dxa"/>
          </w:tcPr>
          <w:p w:rsidR="00A93A92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8B151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Государственная  программа «Развитие здравоохранения Чукотского автономного округа» предусматривает следующие мероприятия, направленны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обеспечение медицинских организаций системы здравоохранения квалифицированными кадрами:</w:t>
            </w:r>
          </w:p>
          <w:p w:rsidR="00A93A92" w:rsidRPr="008B151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 Предоставление мер социальной поддержки студентам медицинских ВУЗов и медицинским работникам в целях привлечения молодых специалистов в учреждения здравоохранения округа;</w:t>
            </w:r>
          </w:p>
          <w:p w:rsidR="00A93A92" w:rsidRPr="008B151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2. Стипендиальная поддержка врачей, обучающихся в интернатуре (ординатуре), имеющих ходатайство руководителя медицинской организации Чукотского автономного округа с обязательством последующего трудоустройства в медицинскую организацию 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Чукотского автономного округа и заключившим соглашение с Департаментом социальной политики Чукотского автономного округа;</w:t>
            </w:r>
          </w:p>
          <w:p w:rsidR="00A93A92" w:rsidRPr="008B151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Обучение медицинских работни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ков по программам дополнительного образования, повышения квалификации (расходы на оплату стоимости обучения, проживания и проезда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A93A92" w:rsidRPr="008B151D" w:rsidRDefault="00A93A92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Мероприятия имеют финансовое обеспечение за счет средств окружного бюджета</w:t>
            </w:r>
            <w:r w:rsidR="00FC41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- </w:t>
            </w:r>
            <w:r w:rsidR="00FC41F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8 810,0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2B5DE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Default="00A93A92" w:rsidP="00A30D0D">
            <w:pPr>
              <w:jc w:val="center"/>
              <w:rPr>
                <w:rFonts w:cs="Times New Roman"/>
                <w:sz w:val="22"/>
                <w:lang w:bidi="en-US"/>
              </w:rPr>
            </w:pPr>
            <w:r w:rsidRPr="0076701B">
              <w:rPr>
                <w:rFonts w:ascii="Times New Roman" w:hAnsi="Times New Roman" w:cs="Times New Roman"/>
                <w:sz w:val="22"/>
                <w:lang w:bidi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2"/>
                <w:lang w:bidi="en-US"/>
              </w:rPr>
              <w:t>12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333A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здравоохранения Чукотского автономного округа на 2016-2020 годы» в части включения мероприятий, направленных на создание механизмов взаимодействия медицинских организаций на основе единой государственной информационной системы в сфере здравоохранения и внедрение цифровых технологий и платформенных решений</w:t>
            </w:r>
          </w:p>
        </w:tc>
        <w:tc>
          <w:tcPr>
            <w:tcW w:w="9922" w:type="dxa"/>
          </w:tcPr>
          <w:p w:rsidR="00A93A92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8B151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государственную  программу «Развитие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Чукотского автономного округа» включены мероприятия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создание механизмов взаимодействия медицинских организаций на основе единой государственной информационной системы в сфере здравоохранения и внедрение цифровых технологий и платформенных решений:</w:t>
            </w:r>
          </w:p>
          <w:p w:rsidR="00A93A92" w:rsidRPr="008B151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Организована передача электронных медицинских карт в Региональную медицинскую информационную систему (приказ ДЗО от 20.08.2019), организованы работы по предоставлению сведений в подсистемы Федеральная интегрированная электронная медицинская карта и Федеральный регистр электронных медицинских документов Единой государственной информационной системы в сфере здравоохранения (приказ ДЗО от 16.12.2019 № 1106)</w:t>
            </w:r>
          </w:p>
          <w:p w:rsidR="00A93A92" w:rsidRPr="008B151D" w:rsidRDefault="00A93A92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15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Мероприятия имеют финансовое обеспечение за счет средств федерального бюджета</w:t>
            </w:r>
            <w:r w:rsidR="00FC41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-</w:t>
            </w:r>
            <w:r w:rsidR="00FC41F0">
              <w:t xml:space="preserve"> </w:t>
            </w:r>
            <w:r w:rsidR="00FC41F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заключены ГК на сумму  8 050,0 тыс. руб</w:t>
            </w:r>
            <w:r w:rsidR="00C22141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лей</w:t>
            </w:r>
            <w:r w:rsidR="00FC41F0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2B5DE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Default="00A93A92" w:rsidP="00A30D0D">
            <w:pPr>
              <w:jc w:val="center"/>
              <w:rPr>
                <w:rFonts w:cs="Times New Roman"/>
                <w:sz w:val="22"/>
                <w:lang w:bidi="en-US"/>
              </w:rPr>
            </w:pPr>
            <w:r w:rsidRPr="0076701B">
              <w:rPr>
                <w:rFonts w:ascii="Times New Roman" w:hAnsi="Times New Roman" w:cs="Times New Roman"/>
                <w:sz w:val="22"/>
                <w:lang w:bidi="en-US"/>
              </w:rPr>
              <w:t>3.</w:t>
            </w:r>
            <w:r>
              <w:rPr>
                <w:rFonts w:ascii="Times New Roman" w:hAnsi="Times New Roman" w:cs="Times New Roman"/>
                <w:sz w:val="22"/>
                <w:lang w:bidi="en-US"/>
              </w:rPr>
              <w:t>13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проведение информационно-коммуникационной кампании для мотивирования граждан к ведению здорового образа жизни, а также вовлечения граждан и некоммерческих организаций в мероприятия по укреплению общественного здоровья с использованием основных телекоммуникационных каналов для всех целевых аудиторий</w:t>
            </w:r>
          </w:p>
        </w:tc>
        <w:tc>
          <w:tcPr>
            <w:tcW w:w="9922" w:type="dxa"/>
          </w:tcPr>
          <w:p w:rsidR="00643141" w:rsidRDefault="00643141" w:rsidP="00A93A92">
            <w:pPr>
              <w:ind w:left="113" w:right="114" w:firstLine="39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не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выполнено</w:t>
            </w:r>
          </w:p>
          <w:p w:rsidR="00A93A92" w:rsidRPr="00E37D7B" w:rsidRDefault="00A93A92" w:rsidP="00A93A92">
            <w:pPr>
              <w:ind w:left="113" w:right="114" w:firstLine="39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37D7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 реализации мероприятия не наступил</w:t>
            </w:r>
          </w:p>
          <w:p w:rsidR="00A93A92" w:rsidRDefault="00A93A92" w:rsidP="00A93A92">
            <w:pPr>
              <w:ind w:left="113" w:right="114" w:firstLine="397"/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A93A92" w:rsidRPr="008B151D" w:rsidRDefault="00A93A92" w:rsidP="00A93A92">
            <w:pPr>
              <w:ind w:left="113" w:right="114" w:firstLine="39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93A92" w:rsidRPr="00C61A61" w:rsidTr="008C37F8">
        <w:tc>
          <w:tcPr>
            <w:tcW w:w="562" w:type="dxa"/>
          </w:tcPr>
          <w:p w:rsidR="00A93A92" w:rsidRDefault="00A93A92" w:rsidP="00A30D0D">
            <w:pPr>
              <w:jc w:val="center"/>
              <w:rPr>
                <w:rFonts w:cs="Times New Roman"/>
                <w:sz w:val="22"/>
                <w:lang w:bidi="en-US"/>
              </w:rPr>
            </w:pPr>
            <w:r w:rsidRPr="0076701B">
              <w:rPr>
                <w:rFonts w:ascii="Times New Roman" w:hAnsi="Times New Roman" w:cs="Times New Roman"/>
                <w:sz w:val="22"/>
                <w:lang w:bidi="en-US"/>
              </w:rPr>
              <w:t>3.</w:t>
            </w:r>
            <w:r>
              <w:rPr>
                <w:rFonts w:ascii="Times New Roman" w:hAnsi="Times New Roman" w:cs="Times New Roman"/>
                <w:sz w:val="22"/>
                <w:lang w:bidi="en-US"/>
              </w:rPr>
              <w:t>14</w:t>
            </w:r>
          </w:p>
        </w:tc>
        <w:tc>
          <w:tcPr>
            <w:tcW w:w="4711" w:type="dxa"/>
          </w:tcPr>
          <w:p w:rsidR="00A93A92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Разработка и внедрение модельных корпоративных программ укрепления здоровья, содержащих наилучшие практики по охране и укреплению здоровья и </w:t>
            </w: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формированию здорового образа жизни работников</w:t>
            </w:r>
          </w:p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</w:tc>
        <w:tc>
          <w:tcPr>
            <w:tcW w:w="9922" w:type="dxa"/>
          </w:tcPr>
          <w:p w:rsidR="00643141" w:rsidRDefault="00643141" w:rsidP="00A93A92">
            <w:pPr>
              <w:ind w:left="113" w:right="114" w:firstLine="39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не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выполнено</w:t>
            </w:r>
          </w:p>
          <w:p w:rsidR="00A93A92" w:rsidRPr="00E37D7B" w:rsidRDefault="00A93A92" w:rsidP="00A93A92">
            <w:pPr>
              <w:ind w:left="113" w:right="114" w:firstLine="39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37D7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 реализации мероприятия не наступил</w:t>
            </w:r>
          </w:p>
          <w:p w:rsidR="00A93A92" w:rsidRDefault="00A93A92" w:rsidP="00A93A92">
            <w:pPr>
              <w:ind w:left="113" w:right="114" w:firstLine="397"/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A93A92" w:rsidRPr="00E6281C" w:rsidRDefault="00A93A92" w:rsidP="00A93A92">
            <w:pPr>
              <w:ind w:left="113" w:right="114" w:firstLine="39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93A92" w:rsidRPr="00C61A61" w:rsidTr="008C37F8">
        <w:tc>
          <w:tcPr>
            <w:tcW w:w="562" w:type="dxa"/>
          </w:tcPr>
          <w:p w:rsidR="00A93A92" w:rsidRDefault="00A93A92" w:rsidP="00A30D0D">
            <w:pPr>
              <w:jc w:val="center"/>
              <w:rPr>
                <w:rFonts w:cs="Times New Roman"/>
                <w:sz w:val="22"/>
                <w:lang w:bidi="en-US"/>
              </w:rPr>
            </w:pPr>
            <w:r w:rsidRPr="009E7146">
              <w:rPr>
                <w:rFonts w:ascii="Times New Roman" w:hAnsi="Times New Roman" w:cs="Times New Roman"/>
                <w:sz w:val="22"/>
                <w:lang w:bidi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2"/>
                <w:lang w:bidi="en-US"/>
              </w:rPr>
              <w:t>1</w:t>
            </w:r>
            <w:r w:rsidRPr="009E7146">
              <w:rPr>
                <w:rFonts w:ascii="Times New Roman" w:hAnsi="Times New Roman" w:cs="Times New Roman"/>
                <w:sz w:val="22"/>
                <w:lang w:bidi="en-US"/>
              </w:rPr>
              <w:t>5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«Социальная поддержка населения Чукотского автономного округа» в части включения мероприятий, направленных на реализацию Указа Президента Российской Федерации от 7 мая 2018 г. № 204 в сфере демографии</w:t>
            </w:r>
          </w:p>
        </w:tc>
        <w:tc>
          <w:tcPr>
            <w:tcW w:w="9922" w:type="dxa"/>
          </w:tcPr>
          <w:p w:rsidR="00A93A92" w:rsidRDefault="00643141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A93A92" w:rsidRPr="002D4F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4E7265" w:rsidRDefault="00A93A92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72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Программа</w:t>
            </w:r>
            <w:r w:rsidR="001725B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дополнена мероприя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тиями, включенными в состав основных мероприятий «Региональный проект «Финансовая поддержка семей при рождении детей» федерального проекта </w:t>
            </w:r>
            <w:r w:rsidRPr="002D4F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«Финансовая поддержка семей при рождении детей»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(147 899,5 тыс. рублей – выплаты семьям, имеющим детей) и «Региональный проект «Старшее поколение» федерального проекта «Старшее поколение» (4 921,0 тыс. рублей – приобретение трех автомобилей для обслуживания граждан мобильными бригадами).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3.16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«Социальная поддержка населения Чукотского автономного округа» в части включения мероприятий, направленных на увеличение суммарного коэффициента рождаемости</w:t>
            </w:r>
          </w:p>
        </w:tc>
        <w:tc>
          <w:tcPr>
            <w:tcW w:w="9922" w:type="dxa"/>
          </w:tcPr>
          <w:p w:rsidR="00A93A92" w:rsidRDefault="00643141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 w:rsidRPr="007367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73673B" w:rsidRDefault="00A93A92" w:rsidP="008447F0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рамках основного мероприятия «Региональный проект «Финансовая поддержка семей при рождении детей»</w:t>
            </w:r>
            <w:r w:rsidRPr="00E37D7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703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федерального проекта «Финансовая поддержка семей при рождении детей»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Подпрограммы «Социальная поддержка семей при рождении детей» Государственной программы Чукотского автономного округа </w:t>
            </w:r>
            <w:r w:rsidRPr="005703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«Социальная поддержка населения Чукотского автономного округа»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предусмотрено 8 мер социальной поддержки для семей, предоставляемых в связи с рождением и воспитанием детей. В </w:t>
            </w:r>
            <w:r w:rsidRPr="008447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году на реализацию мероприятий, направленных на увеличение суммарного коэффициента рождаемости </w:t>
            </w:r>
            <w:r w:rsidR="008447F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израсходовано 138 101,7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тыс. рублей.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3.17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утверждение Плана мероприятий («дорожной карта») по созданию и внедрению системы долговременного ухода на среднесрочную перспективу</w:t>
            </w:r>
          </w:p>
        </w:tc>
        <w:tc>
          <w:tcPr>
            <w:tcW w:w="9922" w:type="dxa"/>
          </w:tcPr>
          <w:p w:rsidR="00643141" w:rsidRDefault="00643141" w:rsidP="00A93A92">
            <w:pPr>
              <w:ind w:left="11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не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выполнено</w:t>
            </w:r>
          </w:p>
          <w:p w:rsidR="00A93A92" w:rsidRPr="00A30D0D" w:rsidRDefault="00A93A92" w:rsidP="00A93A92">
            <w:pPr>
              <w:ind w:left="113" w:firstLine="142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726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 реализации мероприятия не наступил</w:t>
            </w:r>
          </w:p>
        </w:tc>
      </w:tr>
      <w:tr w:rsidR="00A93A92" w:rsidRPr="00C61A61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3.18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2B0D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</w:t>
            </w:r>
            <w:r w:rsidRPr="002B0D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реализацию Указа Президента Российской Федерации от 7 мая 2018 г. № 204 в сфере образования</w:t>
            </w:r>
          </w:p>
        </w:tc>
        <w:tc>
          <w:tcPr>
            <w:tcW w:w="9922" w:type="dxa"/>
          </w:tcPr>
          <w:p w:rsidR="00643141" w:rsidRDefault="00643141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Мероприятие выполнено</w:t>
            </w: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953D9E" w:rsidRDefault="00A93A92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Государственную программу Чукотского автономного округа «Развитие образования и науки Чукотского автономного округа», утвержденную Постановлением Правительства Чукотского автономного округа от 08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.04.2019</w:t>
            </w: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№ 192, включены мероприятия, направленные на реализацию Указа Президента Российской Федерации от 7 мая 2018 г. № 204 в сфере образования по следующим региональным проектам национального проекта «Образование»:</w:t>
            </w:r>
          </w:p>
          <w:p w:rsidR="00A93A92" w:rsidRPr="00953D9E" w:rsidRDefault="00A93A92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- «Современная школа» федераль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ого проекта «Современная школа»;</w:t>
            </w:r>
          </w:p>
          <w:p w:rsidR="00A93A92" w:rsidRPr="00953D9E" w:rsidRDefault="00A93A92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Региональный проект «Успех каждого ребенка» федерального проекта «Успех каждого ребенка»;</w:t>
            </w:r>
          </w:p>
          <w:p w:rsidR="00A93A92" w:rsidRPr="00953D9E" w:rsidRDefault="00A93A92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Региональный проект «Цифровая образовательная среда» федерального проекта «Цифровая образовательная среда»;</w:t>
            </w:r>
          </w:p>
          <w:p w:rsidR="00A93A92" w:rsidRPr="00953D9E" w:rsidRDefault="00A93A92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Региональный проект «Молодые профессионалы (повышение конкурентоспособности профессиона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</w:t>
            </w: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ьного образования)» федерального проекта «Молодые профессионалы (повышение конкурентоспособности профессионального образования)»;</w:t>
            </w:r>
          </w:p>
          <w:p w:rsidR="00A93A92" w:rsidRPr="00953D9E" w:rsidRDefault="00A93A92" w:rsidP="00A93A92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D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Региональный проект «Учитель будущего» федерального проекта «Учитель будущего.</w:t>
            </w:r>
          </w:p>
          <w:p w:rsidR="00A93A92" w:rsidRPr="00953D9E" w:rsidRDefault="00A93A92" w:rsidP="006E6C0F">
            <w:pPr>
              <w:ind w:left="11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 мероприятия имеют финансовое обеспечение за счет средств федерального</w:t>
            </w:r>
            <w:r w:rsidR="007A563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47FD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бюджета</w:t>
            </w:r>
            <w:r w:rsidR="00DD73B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A563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- 846 155,1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окружного </w:t>
            </w:r>
            <w:r w:rsidR="00847FD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бюджета </w:t>
            </w:r>
            <w:r w:rsidR="007A563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 37 346,6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1725B7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3.19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B0D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 на 2016-2020 годы» в части включения мероприятий, направленных на развитие цифровых форм оказания услуг дополнительного образования с целью повышения их доступности</w:t>
            </w:r>
          </w:p>
        </w:tc>
        <w:tc>
          <w:tcPr>
            <w:tcW w:w="9922" w:type="dxa"/>
          </w:tcPr>
          <w:p w:rsidR="00A93A92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AC7EB1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7EB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Государственную программу Чукотского автономного округа «Развитие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Чукотского автономного округа»</w:t>
            </w:r>
            <w:r w:rsidRPr="00AC7EB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включены мероприятия, направленные на развитие цифровых форм оказания услуг дополнительного образования с целью повышения их доступности.</w:t>
            </w:r>
          </w:p>
          <w:p w:rsidR="00A93A92" w:rsidRPr="00AC7EB1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7EB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рамках Регионального проекта «Цифровая образовательная среда» федерального проекта «Цифровая образовательная среда» запланировано создание Центра цифрового образования детей.</w:t>
            </w:r>
          </w:p>
          <w:p w:rsidR="00A93A92" w:rsidRPr="00A30D0D" w:rsidRDefault="00A93A92" w:rsidP="006E6C0F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Мероприятие имеет финансовое обеспечение за счет средств федерального</w:t>
            </w:r>
            <w:r w:rsidR="00847FD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бюджета</w:t>
            </w:r>
            <w:r w:rsidR="007A563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– 12 132,6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окружного</w:t>
            </w:r>
            <w:r w:rsidR="007A563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47FD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бюджета </w:t>
            </w:r>
            <w:r w:rsidR="007A563E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 247,7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1725B7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3.20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Чукотского автономного округа </w:t>
            </w: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2016-2020 годы» в части включения мероприятий, направленных на создание собственного высшего учебного заведения в Округе</w:t>
            </w:r>
          </w:p>
        </w:tc>
        <w:tc>
          <w:tcPr>
            <w:tcW w:w="9922" w:type="dxa"/>
          </w:tcPr>
          <w:p w:rsidR="001725B7" w:rsidRDefault="00643141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 процессе выполнения</w:t>
            </w:r>
            <w:r w:rsidR="001725B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07515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настоящее время окончательное решение о создании собственного высшего учебного заведения в Чукотском автономном округе не принято.</w:t>
            </w:r>
          </w:p>
          <w:p w:rsidR="00A93A92" w:rsidRPr="0007515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51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связи с этим необходимые изменения в Государственную программу Чукотского автономного округа «Развитие образования и науки Чукотского автономного округа» не вносились.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3.21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</w:t>
            </w: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«Развитие образования, культуры, спорта, туризма и молодежной политики Чукотского автономного округа на 2016-2020 годы» в части включения мероприятий, направленных на привлечение малого бизнеса в сферу дополнительного образования</w:t>
            </w:r>
          </w:p>
        </w:tc>
        <w:tc>
          <w:tcPr>
            <w:tcW w:w="9922" w:type="dxa"/>
          </w:tcPr>
          <w:p w:rsidR="00A93A92" w:rsidRPr="004E34DC" w:rsidRDefault="008C22BD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Мероприятие выполнено</w:t>
            </w:r>
            <w:r w:rsidR="00A93A92"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4E34D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Государственную программу Чукотского автономного округа «Развитие образования и </w:t>
            </w:r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науки Чукотского автономного округа», включены мероприятия, направленные на привлечение малого бизнеса в сферу дополнительного образования:</w:t>
            </w:r>
          </w:p>
          <w:p w:rsidR="00A93A92" w:rsidRPr="004E34D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гранты некоммерческим организациям на проведение Окружного фестиваля робототехники;</w:t>
            </w:r>
          </w:p>
          <w:p w:rsidR="00A93A92" w:rsidRPr="004E34D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гранты некоммерческим организациям на проведение Окружного фестиваля родных языков.</w:t>
            </w:r>
          </w:p>
          <w:p w:rsidR="00A93A92" w:rsidRPr="004E34DC" w:rsidRDefault="00A93A92" w:rsidP="007A563E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Мероприятия имеют финансовое обеспечение за</w:t>
            </w:r>
            <w:r w:rsidR="007A563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счет средств окружного бюджета – 7 900,0 тыс. рублей.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274127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2741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3.22</w:t>
            </w:r>
          </w:p>
        </w:tc>
        <w:tc>
          <w:tcPr>
            <w:tcW w:w="4711" w:type="dxa"/>
          </w:tcPr>
          <w:p w:rsidR="00A93A92" w:rsidRPr="00274127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2B0D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              на 2016-2020 годы» в части включения мероприятий, направленных на создание условий для осуществления трудовой деятельности женщин, имеющих детей, включая достижение 100-процентной доступности к 2021 г. дошкольного образования для детей в возрасте до трех лет</w:t>
            </w:r>
          </w:p>
        </w:tc>
        <w:tc>
          <w:tcPr>
            <w:tcW w:w="9922" w:type="dxa"/>
          </w:tcPr>
          <w:p w:rsidR="00A93A92" w:rsidRDefault="008C22BD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A93A92" w:rsidRPr="003A343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A93A92" w:rsidRPr="003A3434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A343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Государственную программу Чукотского автономного округа «Развитие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Чукотского автономного округа»</w:t>
            </w:r>
            <w:r w:rsidRPr="003A343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включено мероприятие, направленное на создание условий для осуществления трудовой деятельности женщин, имеющих детей, включая достижение 100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-процентной доступности к 2021 году</w:t>
            </w:r>
            <w:r w:rsidRPr="003A343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дошкольного образования для детей в возрасте до трех лет:</w:t>
            </w:r>
          </w:p>
          <w:p w:rsidR="00A93A92" w:rsidRPr="003A3434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A343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создание дополнительных мест для детей в возрасте от 1,5 до 3 лет в образовательных организациях, осуществляющих образовательную деятельность по программам дошкольного образования - строительство объекта «Детский сад в  г. Анадырь».</w:t>
            </w:r>
          </w:p>
          <w:p w:rsidR="00A93A92" w:rsidRPr="00B06E23" w:rsidRDefault="00A93A92" w:rsidP="00847FD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A343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Сроки реализации мероприятия – до 2021 года. Мероприятие имеет финансовое обеспечение как за счет средств федерального</w:t>
            </w:r>
            <w:r w:rsidR="00847FD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бюджета </w:t>
            </w:r>
            <w:r w:rsidR="00847FD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 99 088,5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так и окружного</w:t>
            </w:r>
            <w:r w:rsidR="00847FD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бюджета – 118 504,6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1725B7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93A92" w:rsidRPr="00CF6382" w:rsidTr="008C37F8">
        <w:tc>
          <w:tcPr>
            <w:tcW w:w="562" w:type="dxa"/>
          </w:tcPr>
          <w:p w:rsidR="00A93A92" w:rsidRPr="00CF6382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F6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3.23</w:t>
            </w:r>
          </w:p>
        </w:tc>
        <w:tc>
          <w:tcPr>
            <w:tcW w:w="4711" w:type="dxa"/>
          </w:tcPr>
          <w:p w:rsidR="00A93A92" w:rsidRPr="00CF6382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</w:t>
            </w:r>
            <w:r w:rsidRPr="00CF6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ики Чукот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ского автономного округа </w:t>
            </w:r>
            <w:r w:rsidRPr="00CF6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 2016-2020 годы» в части включения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9922" w:type="dxa"/>
          </w:tcPr>
          <w:p w:rsidR="008C22BD" w:rsidRDefault="008C22BD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</w:p>
          <w:p w:rsidR="00A93A92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</w:t>
            </w:r>
            <w:r w:rsidRPr="00521F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Государственную программу Чукотского автономного округа </w:t>
            </w:r>
            <w:r w:rsidRPr="006D3B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«Развитие образования и науки Чукотского автономного округа» </w:t>
            </w:r>
            <w:r w:rsidRPr="00521F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части включения мероприятий по профессиональному обучению и дополнительному профессиональному образованию лиц предпенсионного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не требуется.</w:t>
            </w:r>
          </w:p>
          <w:p w:rsidR="00A93A92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Изменения внесены в </w:t>
            </w:r>
            <w:r w:rsidRPr="00170C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ую</w:t>
            </w:r>
            <w:r w:rsidRPr="00170C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</w:t>
            </w:r>
            <w:r w:rsidRPr="00170CA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«Стимулирование экономической активности населения Чукотского автономного округа»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A30D0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21F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Постановлением Правительства Чукотского автономного округа от 04.02.2019 № 47 в Подпрограмму «Содействие занятости населения и социальная поддержка безработных граждан» Государственной программы «Стимулирование экономической активности населения Чукотского автономного округа» включено мероприятие «Организация </w:t>
            </w:r>
            <w:r w:rsidRPr="00521F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профессионального обучения и дополнительного профессионального образования лиц предпенсионного возраста». В 2019 году службой занятости населения организовано профессиональное обучение и дополнительное профессиональное образование 44 граждан предпенсионного возраста.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54545E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454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3.24</w:t>
            </w:r>
          </w:p>
        </w:tc>
        <w:tc>
          <w:tcPr>
            <w:tcW w:w="4711" w:type="dxa"/>
          </w:tcPr>
          <w:p w:rsidR="00A93A92" w:rsidRPr="0054545E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9922" w:type="dxa"/>
          </w:tcPr>
          <w:p w:rsidR="00A93A92" w:rsidRPr="0054545E" w:rsidRDefault="008C22BD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 w:rsidRPr="005454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A93A92" w:rsidRPr="005454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A93A92" w:rsidRPr="0054545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454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Государственную программу Чукотского автономного округа «Развитие образования и науки Чукотского автономного округа», включены мероприятия, направленные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«Технология»:</w:t>
            </w:r>
          </w:p>
          <w:p w:rsidR="00A93A92" w:rsidRPr="0054545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454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      </w:r>
          </w:p>
          <w:p w:rsidR="00A93A92" w:rsidRPr="0054545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454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субсидии на реализацию мероприятий по профессиональной ориентации лиц, обучающихся в общеобразовательных организациях Чукотского автономного округа.</w:t>
            </w:r>
          </w:p>
          <w:p w:rsidR="00A93A92" w:rsidRPr="00A30D0D" w:rsidRDefault="00A93A92" w:rsidP="00770B4C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454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Сроки реализации мероприятия – до 2024 года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Мероприятия имеют финансовое обеспечение как за счет средств федерального</w:t>
            </w:r>
            <w:r w:rsidR="00770B4C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бюджета – 8 757,7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так и окружного бюджет</w:t>
            </w:r>
            <w:r w:rsidR="00770B4C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 – 15 178,8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8C22BD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3.25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6D3B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внедрение региональной модели профессионального роста педагогических работников, охватывающей не менее 50 процентов учителей общеобразовательных</w:t>
            </w:r>
          </w:p>
        </w:tc>
        <w:tc>
          <w:tcPr>
            <w:tcW w:w="9922" w:type="dxa"/>
          </w:tcPr>
          <w:p w:rsidR="00A93A92" w:rsidRDefault="004E0EB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BA72E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A72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Государственную программу Чукотского автономного округа «Развитие образования и науки Чукотского автономного округа», включены мероприятия, направленные на внедрение региональной модели профессионального роста педагогических работников образовательных организаций:</w:t>
            </w:r>
          </w:p>
          <w:p w:rsidR="00A93A92" w:rsidRPr="00BA72E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A72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педагогов;</w:t>
            </w:r>
          </w:p>
          <w:p w:rsidR="00A93A92" w:rsidRPr="00BA72E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A72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организация, проведение, участие в конкурсах профессионального мастерства;</w:t>
            </w:r>
          </w:p>
          <w:p w:rsidR="00A93A92" w:rsidRPr="00BA72ED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A72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BA72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грантовая</w:t>
            </w:r>
            <w:proofErr w:type="spellEnd"/>
            <w:r w:rsidRPr="00BA72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поддержка лучших образовательных организаций и их работников.</w:t>
            </w:r>
          </w:p>
          <w:p w:rsidR="00A93A92" w:rsidRPr="00BA72ED" w:rsidRDefault="00A93A92" w:rsidP="00F83405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A72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Сроки реализации мероприятий – до 2024 года. Мероприятия имеют финансовое </w:t>
            </w:r>
            <w:r w:rsidRPr="00BA72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обеспечение как за счет средств 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федерального</w:t>
            </w:r>
            <w:r w:rsidR="00F83405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бюджета – 53 369,6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так и окружного бюджет</w:t>
            </w:r>
            <w:r w:rsidR="00F83405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 – 33 954,8 тыс. рублей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4E0EB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3.26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модернизацию профессионального образования, в том числе посредством внедрения адаптивных, практико-ориентированных и гибких образовательных программ </w:t>
            </w:r>
          </w:p>
        </w:tc>
        <w:tc>
          <w:tcPr>
            <w:tcW w:w="9922" w:type="dxa"/>
          </w:tcPr>
          <w:p w:rsidR="00A93A92" w:rsidRDefault="001E142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A93A92"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A93A92" w:rsidRPr="002732F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Постановлениями Правительства Чукотского авт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ономного округа от 28.06.2019  № 334, от 19.12.2019</w:t>
            </w: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№ 582 «О внесении изменений в Постановление Правительства Чукотского автономного округа от 8 апреля 2019 года № 192» в подпрограмму «Обеспечение государственных гарантий и развитие современной инфраструктуры образования» Государственной программы «Развитие образования и науки Чукотского автономного округа» включены </w:t>
            </w:r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отдельные мероприятия, направленные на модернизацию профессионального образования, в том числе посредством внедрения адаптивных, практико-ориентированных и гибких образовательных программ:</w:t>
            </w:r>
          </w:p>
          <w:p w:rsidR="00A93A92" w:rsidRPr="002732F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="00DD73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реализация мер по профессиональ</w:t>
            </w:r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ному обучению младшего медицинского персонала;</w:t>
            </w:r>
          </w:p>
          <w:p w:rsidR="00A93A92" w:rsidRPr="002732F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организация, проведение, участие в конкурсах профессионального мастерства;</w:t>
            </w:r>
          </w:p>
          <w:p w:rsidR="00A93A92" w:rsidRPr="002732F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внедрение целевой модели цифровой образовательной среды в общеобразовательных организациях и профессиональных образовательных организациях;</w:t>
            </w:r>
          </w:p>
          <w:p w:rsidR="00A93A92" w:rsidRPr="002732F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подготовки;</w:t>
            </w:r>
          </w:p>
          <w:p w:rsidR="00A93A92" w:rsidRPr="002732F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организация деятельности Регионального Координационного Центра движения </w:t>
            </w:r>
            <w:proofErr w:type="spellStart"/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WorldSkills</w:t>
            </w:r>
            <w:proofErr w:type="spellEnd"/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Russia</w:t>
            </w:r>
            <w:proofErr w:type="spellEnd"/>
            <w:r w:rsidRPr="002732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Чукотском автономном округе.</w:t>
            </w:r>
          </w:p>
          <w:p w:rsidR="00A93A92" w:rsidRPr="003816D3" w:rsidRDefault="00A93A92" w:rsidP="00DD73B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Мероприятия реализуются в рамках регионального проекта «Молодые профессионалы (Повышение конкурентоспособности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образования)» федерального</w:t>
            </w: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«Молодые профессионалы (Повышение конкурентоспособности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ого образования)», исполнителем которого является Департамент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Чукотского автономного округа. 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3.27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создание условий для непрерывного обновления гражданами профессиональных </w:t>
            </w: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знаний и приобретения ими  новых профессиональных навыков, повышение доступности и вариативности программ обучения путем создания интеграционной платформы непрерывного образования </w:t>
            </w:r>
          </w:p>
        </w:tc>
        <w:tc>
          <w:tcPr>
            <w:tcW w:w="9922" w:type="dxa"/>
          </w:tcPr>
          <w:p w:rsidR="001E142A" w:rsidRDefault="001E142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не </w:t>
            </w: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выполнено</w:t>
            </w:r>
          </w:p>
          <w:p w:rsidR="00A93A92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A93A92" w:rsidRPr="003816D3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Мероприятия, направленные на создание условий для непрерывного обновления гражданами профессиональных знаний и приобретения ими новых профессиональных навыков, повышение доступности и вариативности программ обучения путем создания интеграционной платформы непрерывного образования являются мероприятиями Федерального проекта «Новые возможности для каждого» национального проекта «Образование». </w:t>
            </w:r>
          </w:p>
          <w:p w:rsidR="00A93A92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Данный проект на территории Чукотского автономного округа не реализуется</w:t>
            </w:r>
          </w:p>
          <w:p w:rsidR="001E142A" w:rsidRPr="003816D3" w:rsidRDefault="001E142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3.28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DC53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9922" w:type="dxa"/>
          </w:tcPr>
          <w:p w:rsidR="00A93A92" w:rsidRDefault="001E142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3816D3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Государственную программу Чукотского автономного округа «Развитие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Чукотского автономного округа»</w:t>
            </w: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включены мероприятия, направленные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обучающихся:</w:t>
            </w:r>
          </w:p>
          <w:p w:rsidR="00A93A92" w:rsidRPr="003816D3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организация и проведение олимпиад учащихся образовательных организаци</w:t>
            </w:r>
            <w:r w:rsidR="00F834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й Чукотского автономного округа;</w:t>
            </w:r>
          </w:p>
          <w:p w:rsidR="00A93A92" w:rsidRPr="003816D3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субсидии на реализацию мероприятий по поддержке творчества обучающихся инженерной направленности;</w:t>
            </w:r>
          </w:p>
          <w:p w:rsidR="00A93A92" w:rsidRPr="003816D3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организация, проведение, участие в окружных и всероссийских молодежных массовых мероприятиях, конкурсах, слетах;</w:t>
            </w:r>
          </w:p>
          <w:p w:rsidR="00A93A92" w:rsidRPr="003816D3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организация и проведение окружных мероприятий, направленных на развитие детского и молодежного творчества;</w:t>
            </w:r>
          </w:p>
          <w:p w:rsidR="00A93A92" w:rsidRPr="003816D3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организация, проведение, участие в конкурсах профессионального мастерства.</w:t>
            </w:r>
          </w:p>
          <w:p w:rsidR="00A93A92" w:rsidRPr="003816D3" w:rsidRDefault="00A93A92" w:rsidP="000F6875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816D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Сроки реализации мероприятий – до 2024 года. Мероприятия имеют финансовое обеспечение за счет средств окружного </w:t>
            </w:r>
            <w:r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бюджета</w:t>
            </w:r>
            <w:r w:rsidR="001E142A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0F6875" w:rsidRPr="006E6C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 112 425,6 тыс. рублей.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3.29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утверждение плана мероприятий ресурсного центра по поддержке добровольчества (</w:t>
            </w:r>
            <w:proofErr w:type="spellStart"/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волонтерства</w:t>
            </w:r>
            <w:proofErr w:type="spellEnd"/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 в сфере культуры безопасности и чрезвычайных ситуаций до 2024 года с учетом федеральных программ «Волонтер безопасности» и программы подготовки спасателей, а также с учетом ключевых показателей эффективности</w:t>
            </w:r>
          </w:p>
        </w:tc>
        <w:tc>
          <w:tcPr>
            <w:tcW w:w="9922" w:type="dxa"/>
          </w:tcPr>
          <w:p w:rsidR="001E142A" w:rsidRDefault="001E142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</w:p>
          <w:p w:rsidR="00A93A92" w:rsidRPr="004E34D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Разработан проект Плана мероприятий ресурсного центра, изучается соответствующий опыт субъектов Российской Федерации.</w:t>
            </w:r>
          </w:p>
          <w:p w:rsidR="00A93A92" w:rsidRPr="004E34D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Создание ресурсного центра по поддержке добровольчества (</w:t>
            </w:r>
            <w:proofErr w:type="spellStart"/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волонтерства</w:t>
            </w:r>
            <w:proofErr w:type="spellEnd"/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 в сфере культуры безопасности и чрезвычайных ситуаций до 2024 года с учетом федеральных программ «Волонтер безопасности» и программы подготовки спасателей запланировано до 2024 года.</w:t>
            </w:r>
          </w:p>
          <w:p w:rsidR="00A93A92" w:rsidRPr="004E34DC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Ведется разработка типового регламента деятельности ресурсного центра по поддержке добровольчества (</w:t>
            </w:r>
            <w:proofErr w:type="spellStart"/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волонтерства</w:t>
            </w:r>
            <w:proofErr w:type="spellEnd"/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 в сфере культуры безопасности и ЧС, а также соглашений с партнерскими организациями, в том числе с органами исполнительной власти Чукотского </w:t>
            </w:r>
            <w:r w:rsidRPr="004E34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автономного округа, территориальными органами ГУ МЧС России по Чукотскому автономному округу.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3.30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F2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реализацию Указа Президента Российской Федерации от 7 мая 2018 г. № 204 в сфере культуры</w:t>
            </w:r>
          </w:p>
        </w:tc>
        <w:tc>
          <w:tcPr>
            <w:tcW w:w="9922" w:type="dxa"/>
          </w:tcPr>
          <w:p w:rsidR="00A93A92" w:rsidRDefault="001E142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="00A93A92"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152DEA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9F69E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Государственную программу Чукотского автономного округа «Развитие культуры, спорта и туризма Чукотского автономного округа»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включены</w:t>
            </w:r>
            <w:r w:rsidRPr="009F69E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  <w:r w:rsidRPr="009F69E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9F69E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реализацию Указа Президента Российской Федерации от 7 мая 2018 г. № 204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A93A92" w:rsidRPr="00152DEA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в Подпрограмму «Обеспечение государственных гарантий и развитие инфраструктуры культуры, спорта и туризма» введены мероприятия регионального проекта «Культурная среда» федерального проекта «Культурная среда» национального проекта «Культура»: «Государственная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материалами)», «Государственная поддержка отрасли культуры (Обеспечение учреждений культуры передвижными многофункциональными культурными центрами (автоклубами)», «Субсидии на создание модельных муниципальных библиотек», «Субсидия на оснащение детских школ искусств музыкальными инструментами, оборудованием и учебными материалами»; введены мероприятия регионального проекта «Цифровая культура» федерального проекта «Цифровая культура» национального проекта «Культура»: «Создание виртуальных концертных залов»;</w:t>
            </w:r>
          </w:p>
          <w:p w:rsidR="00A93A92" w:rsidRPr="00152DEA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в Подпрограмму «Укрепление единого культурного пространства и развитие межнациональных отношений» введены мероприятия регионального проекта «Творческие люди» федерального проекта «Творческие люди» национального проекта «Культура»: «Организация и проведение Фестиваля любительских творческих коллективов с вручением грантов» (окружной фольклорный фестиваль «</w:t>
            </w:r>
            <w:proofErr w:type="spellStart"/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Эргав</w:t>
            </w:r>
            <w:proofErr w:type="spellEnd"/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», Международный фестиваль арктического кино «Золотой ворон»), «Реализация программ, направленных на укрепление единства нации, духовно-нравственное и патриотическое воспитание» (межрегиональные и региональные передвижные выставки, обменные выставки), «Проведение мероприятий по развитию кинематографии» (студийно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кинооборудование для кинолабораторий и других мероприятий по кинематографии), «Вовлечение волонтеров в программу «Волонтеры культуры»;</w:t>
            </w:r>
          </w:p>
          <w:p w:rsidR="00A93A92" w:rsidRPr="00152DEA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в Подпрограмму «Развитие кадрового потенциала» введены мероприятия регионального проекта «Творческие люди» федерального проекта «Творческие люди» </w:t>
            </w: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национального проекта «Культура»: «Подготовка квалифицированных специалистов для сферы культуры Чукотского автономного округа в высших учебных з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аведениях Российской Федерации», </w:t>
            </w: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«Курсы повышения квалификации специалистов для сферы культуры Чукотского автономного округа», «Повы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шение квалификации специалистов</w:t>
            </w: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для сферы культуры Чукотского автономного округа, на базе Центров непрерывного образования»;</w:t>
            </w:r>
          </w:p>
          <w:p w:rsidR="00A93A92" w:rsidRPr="00152DEA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в Подпрограмму «Поддержка и развитие детского и молодежного творчества» введены мероприятия регионального проекта «Творческие люди» федерального проекта «Творческие люди» национального проекта «Культура»: «Организация и проведение фестивалей детского творчества всех жанров» (ежегодное проведение региональных конкурсов 4-5 единиц);</w:t>
            </w:r>
          </w:p>
          <w:p w:rsidR="00A93A92" w:rsidRPr="00152DEA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в Подпрограмму «</w:t>
            </w:r>
            <w:proofErr w:type="spellStart"/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Грантовая</w:t>
            </w:r>
            <w:proofErr w:type="spellEnd"/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поддержка проектов в области культуры» введены мероприятия регионального проекта «Творческие люди» федерального проекта «Творческие люди» национального проекта «Культура»: «Гранты на поддержку творческих проектов любительских творческих коллективов», «Гранты на поддержку проектов духовно-нравственной направленности»;</w:t>
            </w:r>
          </w:p>
          <w:p w:rsidR="00A93A92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в Подпрограмму «Развитие социальной инфраструктуры» введены мероприятия регионального проекта «Культурная среда» федерального проекта «Культурная среда» национального проекта «Культура»: «Строительство объекта «Дом культуры в с. </w:t>
            </w:r>
            <w:proofErr w:type="spellStart"/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Канчалан</w:t>
            </w:r>
            <w:proofErr w:type="spellEnd"/>
            <w:r w:rsidRPr="00152D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», «Строительство объекта «Центр культурного развития в г. Певек».</w:t>
            </w:r>
          </w:p>
          <w:p w:rsidR="001E142A" w:rsidRPr="005F156E" w:rsidRDefault="00BE5DCC" w:rsidP="005F156E">
            <w:pPr>
              <w:ind w:left="113" w:right="114" w:firstLine="397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bidi="en-US"/>
              </w:rPr>
            </w:pPr>
            <w:r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реализацию мероприятий национального проекта «Культура» в Государственной программе</w:t>
            </w:r>
            <w:r w:rsidR="004170E4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«Развитие культуры, спорта и туризма Чукотского автономного округа» </w:t>
            </w:r>
            <w:r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запланировано – 342 784,7 тыс. рублей.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3.31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F2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создание (реконструкцию) культурно-образовательных и музейных комплексов, включающих в себя концертные залы (в </w:t>
            </w:r>
            <w:proofErr w:type="spellStart"/>
            <w:r w:rsidRPr="008F2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F2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виртуальные), театральные, музыкальные, хореографические и другие творческие </w:t>
            </w:r>
            <w:r w:rsidRPr="008F2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школы, а также выставочные пространства, учреждения культурно-досугового типа, кинозалы</w:t>
            </w:r>
          </w:p>
        </w:tc>
        <w:tc>
          <w:tcPr>
            <w:tcW w:w="9922" w:type="dxa"/>
          </w:tcPr>
          <w:p w:rsidR="00A93A92" w:rsidRPr="004F7814" w:rsidRDefault="001E142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Мероприятие выполнено</w:t>
            </w:r>
            <w:r w:rsidR="00A93A92"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Государственную программу Чукотского автономного округа «Развитие культуры, спорта и туризма Чукотского автономного округа» включены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направленны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создание (реконструкцию) культурно-образовательных и музейных комплексов, включающих в себя концертные залы (в </w:t>
            </w:r>
            <w:proofErr w:type="spellStart"/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виртуальные), театральные, музыкальные, хореографические и другие творческие школы, а также выставочные пространства, учреждения культурно-досугового типа, кинозалы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93A92" w:rsidRPr="00A30D0D" w:rsidRDefault="00A93A92" w:rsidP="005F156E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Подпрограмму «Развитие социальной инфраструктуры» введены мероприятия регионального проекта «Культурная среда» федерального проекта «Культурная среда» национального проекта «Культура»: «Строительство объекта «Дом культуры в с. </w:t>
            </w:r>
            <w:proofErr w:type="spellStart"/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Канчалан</w:t>
            </w:r>
            <w:proofErr w:type="spellEnd"/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», «Строительство объекта «Центр ку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льтурного развития в г. Певек». К</w:t>
            </w: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ультурно-</w:t>
            </w: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лощадками в округе являются детские школы искусств, дома культуры, музеи и </w:t>
            </w:r>
            <w:r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библиотеки.</w:t>
            </w:r>
            <w:r w:rsidR="00B815CA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170E4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Строительство домов культуры (ЦКР г. Певек, ДК с. </w:t>
            </w:r>
            <w:proofErr w:type="spellStart"/>
            <w:r w:rsidR="004170E4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Канчалан</w:t>
            </w:r>
            <w:proofErr w:type="spellEnd"/>
            <w:r w:rsidR="004170E4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 запланировано на 2021-2022 годы: общий объем финансирования  – 217 286,20 тыс. рублей.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3.32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F2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увеличение к 2024 году количества граждан, вовлеченных в культурную деятельность путем поддержки и реализации творческих инициатив, направленных на укрепление российской гражданской идентичности</w:t>
            </w:r>
          </w:p>
        </w:tc>
        <w:tc>
          <w:tcPr>
            <w:tcW w:w="9922" w:type="dxa"/>
          </w:tcPr>
          <w:p w:rsidR="00B815CA" w:rsidRDefault="00B815C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5F156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2019 году в </w:t>
            </w: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Государственную программу Чукотского автономного округа «Развитие культуры, спорта и туризма Чукотского автономного округа» включены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F78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направленны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увеличение к 2024 году количества граждан, вовлеченных в культурную деятельность путем поддержки и реализации творческих инициатив, направленных на укрепление российской гражданской идентичности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B815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F3919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вышеуказанных мероприятий – 12 327,8 тыс. рублей. </w:t>
            </w:r>
            <w:r w:rsidR="004F3919" w:rsidRPr="005F156E"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 </w:t>
            </w:r>
          </w:p>
          <w:p w:rsidR="000C6D23" w:rsidRPr="00A30D0D" w:rsidRDefault="00A93A92" w:rsidP="004F3919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Подпрограмму «</w:t>
            </w:r>
            <w:proofErr w:type="spellStart"/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Грантовая</w:t>
            </w:r>
            <w:proofErr w:type="spellEnd"/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поддержка проектов в области культуры» введены мероприятия регионального проекта «Творческие люди» федерального проекта «Творческие люди» национального проекта «Культура»: «Гранты на поддержку творческих проектов любительских творческих коллективов» и «Гранты на поддержку проектов духовно-нравственной направленности». В 2019 году было поддержано 2 проекта, в 2020 году планируется поддержка 3 проектов.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3.33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F2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Внесение изменений в Государственную программу Чукотского автономного округа «Развитие образования, культуры, спорта, туризма и молодежной политики Чукотского автономного округа» в части включения мероприятий, направленных на организацию и проведение передвижных выставок федеральных / региональных музеев</w:t>
            </w:r>
          </w:p>
        </w:tc>
        <w:tc>
          <w:tcPr>
            <w:tcW w:w="9922" w:type="dxa"/>
          </w:tcPr>
          <w:p w:rsidR="00B815CA" w:rsidRDefault="00B815C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5F156E" w:rsidRPr="005F156E" w:rsidRDefault="00A93A92" w:rsidP="005F156E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2019 году в</w:t>
            </w: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Государственную программу Чукотского автономного округа «Развитие культуры, спорта и туризма Чукотского автономного округа» включены мероприятия, направленные</w:t>
            </w:r>
            <w:r>
              <w:t xml:space="preserve"> </w:t>
            </w: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организацию и проведение передвижных выставок федеральных / региональных музеев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B815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F3919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вышеуказанных мероприятий </w:t>
            </w:r>
            <w:r w:rsidR="00C22141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– </w:t>
            </w:r>
            <w:r w:rsidR="004170E4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C22141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 085,2 тыс. рублей. </w:t>
            </w:r>
          </w:p>
          <w:p w:rsidR="00A93A92" w:rsidRPr="00A30D0D" w:rsidRDefault="00A93A92" w:rsidP="005F156E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Подпрограмму «Укрепление единого культурного пространства и развитие межнациональных отношений» введены мероприятия регионального проекта «Творческие люди» федерального проекта «Творческие люди» национального проекта «Культура», в том числе мероприятие  «Реализация программ, направленных на укрепление единства нации, духовно-нравственное и патриотическое воспитание», подразумевающее под собой межрегиональные и региональные передвижные выставки, обменные выставки.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3.34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F2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Внесение изменений в Государственную программу Чукотского автономного округа «Развитие образования, культуры, спорта, туризма и молодежной политики </w:t>
            </w:r>
            <w:r w:rsidRPr="008F2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Чукотского автономного округа» в части включения мероприятий, направленных на реализацию Указа Президента Российской Федерации от 7 мая 2018 г. № 204 в сфере туризма</w:t>
            </w:r>
          </w:p>
        </w:tc>
        <w:tc>
          <w:tcPr>
            <w:tcW w:w="9922" w:type="dxa"/>
            <w:shd w:val="clear" w:color="auto" w:fill="auto"/>
          </w:tcPr>
          <w:p w:rsidR="00B815CA" w:rsidRDefault="00B815CA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Мероприятие выполнено</w:t>
            </w: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D5594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Государственная программа Чукотского автономного округа «Развитие культуры, спорта и туризма Чукотского автономного округа», утвержденная постановлением Правительства Чукотского автономного округа от 24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.04.</w:t>
            </w: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2019 № 229 содержит основные мероприятия в </w:t>
            </w: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сфере туризма, Подпрограмма «Поддержка туризма»:</w:t>
            </w:r>
          </w:p>
          <w:p w:rsidR="00A93A92" w:rsidRPr="00D5594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 «Популяризация туризма»;</w:t>
            </w:r>
          </w:p>
          <w:p w:rsidR="00A93A92" w:rsidRPr="00D5594E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 «Создание и развитие туристской инфраструктуры»;</w:t>
            </w:r>
          </w:p>
          <w:p w:rsidR="00A93A92" w:rsidRDefault="00A93A92" w:rsidP="00A93A92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«Поддержка субъектов туристской индустрии».</w:t>
            </w:r>
          </w:p>
          <w:p w:rsidR="00B815CA" w:rsidRPr="005F156E" w:rsidRDefault="00D55A40" w:rsidP="005F156E">
            <w:pPr>
              <w:ind w:left="113" w:right="114" w:firstLine="397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bidi="en-US"/>
              </w:rPr>
            </w:pPr>
            <w:r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 реализацию мероприятий </w:t>
            </w:r>
            <w:r w:rsidR="004F3919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Государственной программе  «Развитие культуры, спорта и туризма Чукотского автономного округа» </w:t>
            </w:r>
            <w:r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сфере туризма </w:t>
            </w:r>
            <w:r w:rsidR="004F3919"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запланировано</w:t>
            </w:r>
            <w:r w:rsidRPr="005F15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– 38 390,4 тыс. рублей.</w:t>
            </w:r>
          </w:p>
        </w:tc>
      </w:tr>
      <w:tr w:rsidR="00A93A92" w:rsidRPr="00A30D0D" w:rsidTr="008C37F8">
        <w:tc>
          <w:tcPr>
            <w:tcW w:w="562" w:type="dxa"/>
          </w:tcPr>
          <w:p w:rsidR="00A93A92" w:rsidRPr="00A30D0D" w:rsidRDefault="00A93A92" w:rsidP="00A3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3.35</w:t>
            </w:r>
          </w:p>
        </w:tc>
        <w:tc>
          <w:tcPr>
            <w:tcW w:w="4711" w:type="dxa"/>
          </w:tcPr>
          <w:p w:rsidR="00A93A92" w:rsidRPr="00A30D0D" w:rsidRDefault="00A93A92" w:rsidP="00A93A92">
            <w:pPr>
              <w:ind w:left="5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30D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концепции развития туризма на территории Чукотского автономного округа</w:t>
            </w:r>
          </w:p>
        </w:tc>
        <w:tc>
          <w:tcPr>
            <w:tcW w:w="9922" w:type="dxa"/>
          </w:tcPr>
          <w:p w:rsidR="00B815CA" w:rsidRDefault="00B815CA" w:rsidP="00B815C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25B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Мероприятие выполнено</w:t>
            </w:r>
            <w:r w:rsidRPr="00D5594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93A92" w:rsidRPr="00A30D0D" w:rsidRDefault="00B815CA" w:rsidP="00B815CA">
            <w:pPr>
              <w:ind w:left="113" w:right="114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аспоряжением Правительства Чукотского автономного округа от 09.12.2019 №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487-рп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утверждена </w:t>
            </w:r>
            <w:r w:rsidR="00A93A92"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Стратеги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</w:t>
            </w:r>
            <w:r w:rsidR="00A93A92"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развити</w:t>
            </w:r>
            <w:bookmarkStart w:id="0" w:name="_GoBack"/>
            <w:bookmarkEnd w:id="0"/>
            <w:r w:rsidR="00A93A92" w:rsidRPr="00E13E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я туризма на территории Чукотского автономного округа до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2025 года</w:t>
            </w:r>
          </w:p>
        </w:tc>
      </w:tr>
    </w:tbl>
    <w:p w:rsidR="00EC714F" w:rsidRPr="00A30D0D" w:rsidRDefault="00EC714F" w:rsidP="003F7433">
      <w:pPr>
        <w:pStyle w:val="2"/>
        <w:keepLines w:val="0"/>
        <w:numPr>
          <w:ilvl w:val="0"/>
          <w:numId w:val="0"/>
        </w:numPr>
        <w:rPr>
          <w:rFonts w:cs="Times New Roman"/>
          <w:sz w:val="24"/>
          <w:szCs w:val="24"/>
        </w:rPr>
      </w:pPr>
    </w:p>
    <w:sectPr w:rsidR="00EC714F" w:rsidRPr="00A30D0D" w:rsidSect="00596E57">
      <w:footerReference w:type="default" r:id="rId9"/>
      <w:pgSz w:w="16838" w:h="11906" w:orient="landscape"/>
      <w:pgMar w:top="851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F0" w:rsidRDefault="00FC41F0" w:rsidP="0039324A">
      <w:pPr>
        <w:spacing w:after="0" w:line="240" w:lineRule="auto"/>
      </w:pPr>
      <w:r>
        <w:separator/>
      </w:r>
    </w:p>
  </w:endnote>
  <w:endnote w:type="continuationSeparator" w:id="0">
    <w:p w:rsidR="00FC41F0" w:rsidRDefault="00FC41F0" w:rsidP="003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241949"/>
      <w:docPartObj>
        <w:docPartGallery w:val="Page Numbers (Bottom of Page)"/>
        <w:docPartUnique/>
      </w:docPartObj>
    </w:sdtPr>
    <w:sdtEndPr/>
    <w:sdtContent>
      <w:p w:rsidR="00FC41F0" w:rsidRDefault="00FC41F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6E">
          <w:rPr>
            <w:noProof/>
          </w:rPr>
          <w:t>1</w:t>
        </w:r>
        <w:r>
          <w:fldChar w:fldCharType="end"/>
        </w:r>
      </w:p>
    </w:sdtContent>
  </w:sdt>
  <w:p w:rsidR="00FC41F0" w:rsidRDefault="00FC41F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F0" w:rsidRDefault="00FC41F0" w:rsidP="0039324A">
      <w:pPr>
        <w:spacing w:after="0" w:line="240" w:lineRule="auto"/>
      </w:pPr>
      <w:r>
        <w:separator/>
      </w:r>
    </w:p>
  </w:footnote>
  <w:footnote w:type="continuationSeparator" w:id="0">
    <w:p w:rsidR="00FC41F0" w:rsidRDefault="00FC41F0" w:rsidP="0039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8CC"/>
    <w:multiLevelType w:val="hybridMultilevel"/>
    <w:tmpl w:val="329272E4"/>
    <w:lvl w:ilvl="0" w:tplc="D6308E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D3D5A"/>
    <w:multiLevelType w:val="hybridMultilevel"/>
    <w:tmpl w:val="E64EEFB6"/>
    <w:lvl w:ilvl="0" w:tplc="B67C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EC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A2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4B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20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C8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5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C4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88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22882"/>
    <w:multiLevelType w:val="hybridMultilevel"/>
    <w:tmpl w:val="5F6E54BC"/>
    <w:lvl w:ilvl="0" w:tplc="D6308E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70F14"/>
    <w:multiLevelType w:val="hybridMultilevel"/>
    <w:tmpl w:val="45B6CB60"/>
    <w:lvl w:ilvl="0" w:tplc="D6308E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D5A85"/>
    <w:multiLevelType w:val="hybridMultilevel"/>
    <w:tmpl w:val="EAD8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55208D"/>
    <w:multiLevelType w:val="hybridMultilevel"/>
    <w:tmpl w:val="DFA423D2"/>
    <w:lvl w:ilvl="0" w:tplc="D6308E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F848A4"/>
    <w:multiLevelType w:val="hybridMultilevel"/>
    <w:tmpl w:val="0A0A8BE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A97105A"/>
    <w:multiLevelType w:val="hybridMultilevel"/>
    <w:tmpl w:val="045E052E"/>
    <w:lvl w:ilvl="0" w:tplc="00FC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4E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02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AD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CF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CD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44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0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A1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75A1E"/>
    <w:multiLevelType w:val="multilevel"/>
    <w:tmpl w:val="D2E675B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B713F"/>
    <w:multiLevelType w:val="hybridMultilevel"/>
    <w:tmpl w:val="99EA4858"/>
    <w:lvl w:ilvl="0" w:tplc="D6308E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A0C49"/>
    <w:multiLevelType w:val="hybridMultilevel"/>
    <w:tmpl w:val="FC56259A"/>
    <w:lvl w:ilvl="0" w:tplc="D6308E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BE6918"/>
    <w:multiLevelType w:val="hybridMultilevel"/>
    <w:tmpl w:val="39422CC6"/>
    <w:lvl w:ilvl="0" w:tplc="D342016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152390"/>
    <w:multiLevelType w:val="hybridMultilevel"/>
    <w:tmpl w:val="1A72F410"/>
    <w:lvl w:ilvl="0" w:tplc="A45C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84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23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64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E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AC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2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0C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C4352"/>
    <w:multiLevelType w:val="hybridMultilevel"/>
    <w:tmpl w:val="B8DEB648"/>
    <w:lvl w:ilvl="0" w:tplc="D6308E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217B5B"/>
    <w:multiLevelType w:val="multilevel"/>
    <w:tmpl w:val="B342607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57C862EE"/>
    <w:multiLevelType w:val="hybridMultilevel"/>
    <w:tmpl w:val="39723292"/>
    <w:lvl w:ilvl="0" w:tplc="D6308E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A36C9A"/>
    <w:multiLevelType w:val="hybridMultilevel"/>
    <w:tmpl w:val="5002D188"/>
    <w:lvl w:ilvl="0" w:tplc="D3420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A7254"/>
    <w:multiLevelType w:val="hybridMultilevel"/>
    <w:tmpl w:val="A7EA6E84"/>
    <w:lvl w:ilvl="0" w:tplc="D3420162">
      <w:start w:val="1"/>
      <w:numFmt w:val="bullet"/>
      <w:lvlText w:val="–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653030BC"/>
    <w:multiLevelType w:val="hybridMultilevel"/>
    <w:tmpl w:val="7CFE9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7A2819"/>
    <w:multiLevelType w:val="hybridMultilevel"/>
    <w:tmpl w:val="E4D2E0B8"/>
    <w:lvl w:ilvl="0" w:tplc="8920F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184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23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64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E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AC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2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0C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B73D1"/>
    <w:multiLevelType w:val="hybridMultilevel"/>
    <w:tmpl w:val="D4D23DC6"/>
    <w:lvl w:ilvl="0" w:tplc="D3420162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1A05D69"/>
    <w:multiLevelType w:val="hybridMultilevel"/>
    <w:tmpl w:val="8412141A"/>
    <w:lvl w:ilvl="0" w:tplc="D6308E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2"/>
  </w:num>
  <w:num w:numId="5">
    <w:abstractNumId w:val="0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7"/>
  </w:num>
  <w:num w:numId="16">
    <w:abstractNumId w:val="4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 w:numId="2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C"/>
    <w:rsid w:val="00000746"/>
    <w:rsid w:val="00000B84"/>
    <w:rsid w:val="00001D87"/>
    <w:rsid w:val="00004FE4"/>
    <w:rsid w:val="00006831"/>
    <w:rsid w:val="00010B69"/>
    <w:rsid w:val="00010C69"/>
    <w:rsid w:val="0001262C"/>
    <w:rsid w:val="000131A1"/>
    <w:rsid w:val="00013340"/>
    <w:rsid w:val="00013686"/>
    <w:rsid w:val="00013F6D"/>
    <w:rsid w:val="00015667"/>
    <w:rsid w:val="00021D87"/>
    <w:rsid w:val="00022511"/>
    <w:rsid w:val="00022E33"/>
    <w:rsid w:val="00022E8F"/>
    <w:rsid w:val="000243BC"/>
    <w:rsid w:val="00030A2C"/>
    <w:rsid w:val="0003578A"/>
    <w:rsid w:val="000434E4"/>
    <w:rsid w:val="00043EEF"/>
    <w:rsid w:val="00045BD3"/>
    <w:rsid w:val="000477BD"/>
    <w:rsid w:val="000502D4"/>
    <w:rsid w:val="0005045A"/>
    <w:rsid w:val="00050A99"/>
    <w:rsid w:val="00052584"/>
    <w:rsid w:val="00054597"/>
    <w:rsid w:val="000551BE"/>
    <w:rsid w:val="0006001D"/>
    <w:rsid w:val="00060506"/>
    <w:rsid w:val="0006100C"/>
    <w:rsid w:val="00061A9F"/>
    <w:rsid w:val="0006498D"/>
    <w:rsid w:val="00067D2D"/>
    <w:rsid w:val="00067D77"/>
    <w:rsid w:val="000705B9"/>
    <w:rsid w:val="000710EC"/>
    <w:rsid w:val="00071E6C"/>
    <w:rsid w:val="00072961"/>
    <w:rsid w:val="00072E5B"/>
    <w:rsid w:val="0007515E"/>
    <w:rsid w:val="000773FC"/>
    <w:rsid w:val="00082F41"/>
    <w:rsid w:val="000834A0"/>
    <w:rsid w:val="00084D8F"/>
    <w:rsid w:val="00087CBF"/>
    <w:rsid w:val="000928A8"/>
    <w:rsid w:val="00097479"/>
    <w:rsid w:val="000A06F0"/>
    <w:rsid w:val="000A0B53"/>
    <w:rsid w:val="000A0F7E"/>
    <w:rsid w:val="000A2095"/>
    <w:rsid w:val="000A4A8D"/>
    <w:rsid w:val="000A4CF0"/>
    <w:rsid w:val="000B1AED"/>
    <w:rsid w:val="000B43E5"/>
    <w:rsid w:val="000B4B81"/>
    <w:rsid w:val="000C005D"/>
    <w:rsid w:val="000C10F9"/>
    <w:rsid w:val="000C1718"/>
    <w:rsid w:val="000C3B43"/>
    <w:rsid w:val="000C5EC3"/>
    <w:rsid w:val="000C6D23"/>
    <w:rsid w:val="000D2CB8"/>
    <w:rsid w:val="000D3687"/>
    <w:rsid w:val="000D4858"/>
    <w:rsid w:val="000E1326"/>
    <w:rsid w:val="000E18A5"/>
    <w:rsid w:val="000E22E2"/>
    <w:rsid w:val="000E2CF5"/>
    <w:rsid w:val="000E2DD4"/>
    <w:rsid w:val="000E6DC7"/>
    <w:rsid w:val="000F05A6"/>
    <w:rsid w:val="000F0C4F"/>
    <w:rsid w:val="000F18DB"/>
    <w:rsid w:val="000F2466"/>
    <w:rsid w:val="000F3207"/>
    <w:rsid w:val="000F3E70"/>
    <w:rsid w:val="000F6875"/>
    <w:rsid w:val="000F6956"/>
    <w:rsid w:val="000F7509"/>
    <w:rsid w:val="00100100"/>
    <w:rsid w:val="00100113"/>
    <w:rsid w:val="001003D8"/>
    <w:rsid w:val="00102DC0"/>
    <w:rsid w:val="00113A3D"/>
    <w:rsid w:val="00116B06"/>
    <w:rsid w:val="00117381"/>
    <w:rsid w:val="0011759B"/>
    <w:rsid w:val="00123260"/>
    <w:rsid w:val="00127C06"/>
    <w:rsid w:val="001337F5"/>
    <w:rsid w:val="001348B1"/>
    <w:rsid w:val="00134D22"/>
    <w:rsid w:val="00134E5F"/>
    <w:rsid w:val="00135FF2"/>
    <w:rsid w:val="001363FA"/>
    <w:rsid w:val="001365AB"/>
    <w:rsid w:val="00136D7C"/>
    <w:rsid w:val="0013755A"/>
    <w:rsid w:val="00141D65"/>
    <w:rsid w:val="00141E72"/>
    <w:rsid w:val="001440FB"/>
    <w:rsid w:val="00150D66"/>
    <w:rsid w:val="001510D9"/>
    <w:rsid w:val="001511F1"/>
    <w:rsid w:val="00152DEA"/>
    <w:rsid w:val="001540BE"/>
    <w:rsid w:val="00155626"/>
    <w:rsid w:val="00155A27"/>
    <w:rsid w:val="00155FB6"/>
    <w:rsid w:val="00160501"/>
    <w:rsid w:val="00160F7D"/>
    <w:rsid w:val="001620B0"/>
    <w:rsid w:val="0016282E"/>
    <w:rsid w:val="00164E7C"/>
    <w:rsid w:val="00165C20"/>
    <w:rsid w:val="00170CA7"/>
    <w:rsid w:val="00172553"/>
    <w:rsid w:val="001725B7"/>
    <w:rsid w:val="001754E0"/>
    <w:rsid w:val="00176E51"/>
    <w:rsid w:val="001770C1"/>
    <w:rsid w:val="001778E4"/>
    <w:rsid w:val="00182EA8"/>
    <w:rsid w:val="0018311E"/>
    <w:rsid w:val="001834E6"/>
    <w:rsid w:val="00183EF2"/>
    <w:rsid w:val="00183FC5"/>
    <w:rsid w:val="00184C6E"/>
    <w:rsid w:val="001854D2"/>
    <w:rsid w:val="00186302"/>
    <w:rsid w:val="00186B2C"/>
    <w:rsid w:val="00186B36"/>
    <w:rsid w:val="0018776C"/>
    <w:rsid w:val="001877BE"/>
    <w:rsid w:val="00190DDE"/>
    <w:rsid w:val="0019290F"/>
    <w:rsid w:val="00192BBF"/>
    <w:rsid w:val="00193239"/>
    <w:rsid w:val="00194124"/>
    <w:rsid w:val="00195249"/>
    <w:rsid w:val="0019635C"/>
    <w:rsid w:val="00196B64"/>
    <w:rsid w:val="00197777"/>
    <w:rsid w:val="00197B2F"/>
    <w:rsid w:val="001A269E"/>
    <w:rsid w:val="001A2D4C"/>
    <w:rsid w:val="001A3526"/>
    <w:rsid w:val="001A690B"/>
    <w:rsid w:val="001A74CF"/>
    <w:rsid w:val="001B07A5"/>
    <w:rsid w:val="001B12B3"/>
    <w:rsid w:val="001B404F"/>
    <w:rsid w:val="001B4D26"/>
    <w:rsid w:val="001C0FCF"/>
    <w:rsid w:val="001C39BB"/>
    <w:rsid w:val="001D33C5"/>
    <w:rsid w:val="001D3CC0"/>
    <w:rsid w:val="001D60DB"/>
    <w:rsid w:val="001D707A"/>
    <w:rsid w:val="001E142A"/>
    <w:rsid w:val="001E2E5C"/>
    <w:rsid w:val="001E3775"/>
    <w:rsid w:val="001E3FE6"/>
    <w:rsid w:val="001E592F"/>
    <w:rsid w:val="001E7C66"/>
    <w:rsid w:val="001F1EDD"/>
    <w:rsid w:val="001F48F6"/>
    <w:rsid w:val="00200830"/>
    <w:rsid w:val="00201A74"/>
    <w:rsid w:val="002059E2"/>
    <w:rsid w:val="00212AD3"/>
    <w:rsid w:val="002133AD"/>
    <w:rsid w:val="00214FC9"/>
    <w:rsid w:val="00216857"/>
    <w:rsid w:val="00221257"/>
    <w:rsid w:val="002221A7"/>
    <w:rsid w:val="0022387A"/>
    <w:rsid w:val="002259B8"/>
    <w:rsid w:val="002268C3"/>
    <w:rsid w:val="00227D82"/>
    <w:rsid w:val="0023119D"/>
    <w:rsid w:val="00232957"/>
    <w:rsid w:val="00234DCD"/>
    <w:rsid w:val="0023746A"/>
    <w:rsid w:val="00237C35"/>
    <w:rsid w:val="00242A2F"/>
    <w:rsid w:val="00247673"/>
    <w:rsid w:val="00260262"/>
    <w:rsid w:val="00260433"/>
    <w:rsid w:val="002611E8"/>
    <w:rsid w:val="002611E9"/>
    <w:rsid w:val="0026289E"/>
    <w:rsid w:val="0026734D"/>
    <w:rsid w:val="002674DE"/>
    <w:rsid w:val="00267BDB"/>
    <w:rsid w:val="002710FE"/>
    <w:rsid w:val="002732FC"/>
    <w:rsid w:val="002735C6"/>
    <w:rsid w:val="00274127"/>
    <w:rsid w:val="00274ECD"/>
    <w:rsid w:val="00276356"/>
    <w:rsid w:val="00277D90"/>
    <w:rsid w:val="0028110A"/>
    <w:rsid w:val="0028184B"/>
    <w:rsid w:val="00282BDC"/>
    <w:rsid w:val="00282EA3"/>
    <w:rsid w:val="00283040"/>
    <w:rsid w:val="00287124"/>
    <w:rsid w:val="00290378"/>
    <w:rsid w:val="00294840"/>
    <w:rsid w:val="002965F8"/>
    <w:rsid w:val="00296C61"/>
    <w:rsid w:val="002A0C8A"/>
    <w:rsid w:val="002A15BA"/>
    <w:rsid w:val="002A4118"/>
    <w:rsid w:val="002A537C"/>
    <w:rsid w:val="002A5CF8"/>
    <w:rsid w:val="002B0D0E"/>
    <w:rsid w:val="002B15A6"/>
    <w:rsid w:val="002B3096"/>
    <w:rsid w:val="002B35CB"/>
    <w:rsid w:val="002B5DEE"/>
    <w:rsid w:val="002C3227"/>
    <w:rsid w:val="002C4BA4"/>
    <w:rsid w:val="002C4C39"/>
    <w:rsid w:val="002C7A48"/>
    <w:rsid w:val="002C7B18"/>
    <w:rsid w:val="002D20B9"/>
    <w:rsid w:val="002D257A"/>
    <w:rsid w:val="002D4F38"/>
    <w:rsid w:val="002D5E2E"/>
    <w:rsid w:val="002D5FF5"/>
    <w:rsid w:val="002D78D1"/>
    <w:rsid w:val="002D7EE8"/>
    <w:rsid w:val="002E335E"/>
    <w:rsid w:val="002E3975"/>
    <w:rsid w:val="002E5D69"/>
    <w:rsid w:val="002E5FC4"/>
    <w:rsid w:val="002E6277"/>
    <w:rsid w:val="002E6EBC"/>
    <w:rsid w:val="002E7641"/>
    <w:rsid w:val="002F19E5"/>
    <w:rsid w:val="002F2EEB"/>
    <w:rsid w:val="002F3B57"/>
    <w:rsid w:val="002F465B"/>
    <w:rsid w:val="002F5BB0"/>
    <w:rsid w:val="002F6433"/>
    <w:rsid w:val="0030032D"/>
    <w:rsid w:val="00301435"/>
    <w:rsid w:val="00304006"/>
    <w:rsid w:val="00306461"/>
    <w:rsid w:val="003076E2"/>
    <w:rsid w:val="00310101"/>
    <w:rsid w:val="00312215"/>
    <w:rsid w:val="00313523"/>
    <w:rsid w:val="00314CF0"/>
    <w:rsid w:val="00316AE1"/>
    <w:rsid w:val="00316C3F"/>
    <w:rsid w:val="00317F31"/>
    <w:rsid w:val="003203B8"/>
    <w:rsid w:val="00321382"/>
    <w:rsid w:val="00323E18"/>
    <w:rsid w:val="003269B2"/>
    <w:rsid w:val="0033097F"/>
    <w:rsid w:val="00330F5C"/>
    <w:rsid w:val="00331950"/>
    <w:rsid w:val="00333A28"/>
    <w:rsid w:val="00340964"/>
    <w:rsid w:val="00342A4D"/>
    <w:rsid w:val="00346026"/>
    <w:rsid w:val="003511EF"/>
    <w:rsid w:val="00352270"/>
    <w:rsid w:val="00352319"/>
    <w:rsid w:val="00352C56"/>
    <w:rsid w:val="0035381F"/>
    <w:rsid w:val="00354475"/>
    <w:rsid w:val="003564DD"/>
    <w:rsid w:val="00356712"/>
    <w:rsid w:val="00356C33"/>
    <w:rsid w:val="00357F6B"/>
    <w:rsid w:val="00360A1C"/>
    <w:rsid w:val="0036336A"/>
    <w:rsid w:val="00366375"/>
    <w:rsid w:val="0036736C"/>
    <w:rsid w:val="003700FA"/>
    <w:rsid w:val="003720A2"/>
    <w:rsid w:val="003810AD"/>
    <w:rsid w:val="003816D3"/>
    <w:rsid w:val="00382C2B"/>
    <w:rsid w:val="0038418A"/>
    <w:rsid w:val="00384ED4"/>
    <w:rsid w:val="003854CB"/>
    <w:rsid w:val="00392628"/>
    <w:rsid w:val="0039324A"/>
    <w:rsid w:val="003951FC"/>
    <w:rsid w:val="00396EEA"/>
    <w:rsid w:val="003A2E04"/>
    <w:rsid w:val="003A3434"/>
    <w:rsid w:val="003B0650"/>
    <w:rsid w:val="003B2EF6"/>
    <w:rsid w:val="003B371E"/>
    <w:rsid w:val="003B5B67"/>
    <w:rsid w:val="003B5D11"/>
    <w:rsid w:val="003B668B"/>
    <w:rsid w:val="003B6B78"/>
    <w:rsid w:val="003C0C12"/>
    <w:rsid w:val="003C193B"/>
    <w:rsid w:val="003C439B"/>
    <w:rsid w:val="003C4D69"/>
    <w:rsid w:val="003D1B7D"/>
    <w:rsid w:val="003D39F3"/>
    <w:rsid w:val="003D603C"/>
    <w:rsid w:val="003D66AF"/>
    <w:rsid w:val="003D73D8"/>
    <w:rsid w:val="003D7B14"/>
    <w:rsid w:val="003E0429"/>
    <w:rsid w:val="003E330C"/>
    <w:rsid w:val="003F0BC1"/>
    <w:rsid w:val="003F5245"/>
    <w:rsid w:val="003F7433"/>
    <w:rsid w:val="003F79E8"/>
    <w:rsid w:val="0040357D"/>
    <w:rsid w:val="00403655"/>
    <w:rsid w:val="00403F7B"/>
    <w:rsid w:val="004046C0"/>
    <w:rsid w:val="00404E28"/>
    <w:rsid w:val="00410F08"/>
    <w:rsid w:val="0041602B"/>
    <w:rsid w:val="00416B85"/>
    <w:rsid w:val="004170E4"/>
    <w:rsid w:val="0042015B"/>
    <w:rsid w:val="0042210A"/>
    <w:rsid w:val="00424371"/>
    <w:rsid w:val="004258D0"/>
    <w:rsid w:val="00426A57"/>
    <w:rsid w:val="004274D4"/>
    <w:rsid w:val="004274E1"/>
    <w:rsid w:val="0043127B"/>
    <w:rsid w:val="0043191C"/>
    <w:rsid w:val="00440646"/>
    <w:rsid w:val="00441548"/>
    <w:rsid w:val="00441BD8"/>
    <w:rsid w:val="004445C3"/>
    <w:rsid w:val="00450F0D"/>
    <w:rsid w:val="00451AF8"/>
    <w:rsid w:val="0045528F"/>
    <w:rsid w:val="0045588F"/>
    <w:rsid w:val="0045642D"/>
    <w:rsid w:val="00456C2C"/>
    <w:rsid w:val="004638E7"/>
    <w:rsid w:val="0046482C"/>
    <w:rsid w:val="00465205"/>
    <w:rsid w:val="00466243"/>
    <w:rsid w:val="004663FC"/>
    <w:rsid w:val="00466AD1"/>
    <w:rsid w:val="00473F7F"/>
    <w:rsid w:val="00474683"/>
    <w:rsid w:val="00475CAB"/>
    <w:rsid w:val="00476929"/>
    <w:rsid w:val="00477D56"/>
    <w:rsid w:val="004802EF"/>
    <w:rsid w:val="0048266F"/>
    <w:rsid w:val="004826E8"/>
    <w:rsid w:val="00483CAC"/>
    <w:rsid w:val="0048471F"/>
    <w:rsid w:val="00485236"/>
    <w:rsid w:val="00487A05"/>
    <w:rsid w:val="004905EE"/>
    <w:rsid w:val="00497E7D"/>
    <w:rsid w:val="004A0184"/>
    <w:rsid w:val="004A245F"/>
    <w:rsid w:val="004A2576"/>
    <w:rsid w:val="004A309B"/>
    <w:rsid w:val="004A3615"/>
    <w:rsid w:val="004A47BD"/>
    <w:rsid w:val="004A560D"/>
    <w:rsid w:val="004A63DE"/>
    <w:rsid w:val="004A6507"/>
    <w:rsid w:val="004A660E"/>
    <w:rsid w:val="004B1218"/>
    <w:rsid w:val="004B291D"/>
    <w:rsid w:val="004B2DA1"/>
    <w:rsid w:val="004B54BA"/>
    <w:rsid w:val="004C0E55"/>
    <w:rsid w:val="004C0FA6"/>
    <w:rsid w:val="004C424C"/>
    <w:rsid w:val="004C5900"/>
    <w:rsid w:val="004D01B3"/>
    <w:rsid w:val="004D32C5"/>
    <w:rsid w:val="004D3540"/>
    <w:rsid w:val="004D4113"/>
    <w:rsid w:val="004D413F"/>
    <w:rsid w:val="004D7A40"/>
    <w:rsid w:val="004E02EA"/>
    <w:rsid w:val="004E0EBA"/>
    <w:rsid w:val="004E2A5E"/>
    <w:rsid w:val="004E3260"/>
    <w:rsid w:val="004E34DC"/>
    <w:rsid w:val="004E5C88"/>
    <w:rsid w:val="004E7265"/>
    <w:rsid w:val="004F0357"/>
    <w:rsid w:val="004F2E3D"/>
    <w:rsid w:val="004F3919"/>
    <w:rsid w:val="004F4A98"/>
    <w:rsid w:val="004F4BE8"/>
    <w:rsid w:val="004F54D8"/>
    <w:rsid w:val="004F7814"/>
    <w:rsid w:val="00501635"/>
    <w:rsid w:val="00501C1C"/>
    <w:rsid w:val="00502619"/>
    <w:rsid w:val="00506620"/>
    <w:rsid w:val="005107E7"/>
    <w:rsid w:val="0051151A"/>
    <w:rsid w:val="00511ADC"/>
    <w:rsid w:val="005124D4"/>
    <w:rsid w:val="00512816"/>
    <w:rsid w:val="00513411"/>
    <w:rsid w:val="00513686"/>
    <w:rsid w:val="005136D9"/>
    <w:rsid w:val="005147A2"/>
    <w:rsid w:val="00514ADC"/>
    <w:rsid w:val="00515F6F"/>
    <w:rsid w:val="005176A0"/>
    <w:rsid w:val="00521F09"/>
    <w:rsid w:val="005221B7"/>
    <w:rsid w:val="005224D1"/>
    <w:rsid w:val="00522D37"/>
    <w:rsid w:val="00531C41"/>
    <w:rsid w:val="0053206F"/>
    <w:rsid w:val="0053253C"/>
    <w:rsid w:val="005325EB"/>
    <w:rsid w:val="00533BFE"/>
    <w:rsid w:val="00534A5C"/>
    <w:rsid w:val="0054021C"/>
    <w:rsid w:val="00540293"/>
    <w:rsid w:val="00542364"/>
    <w:rsid w:val="0054323F"/>
    <w:rsid w:val="00543EC0"/>
    <w:rsid w:val="0054441F"/>
    <w:rsid w:val="005448EF"/>
    <w:rsid w:val="00544B78"/>
    <w:rsid w:val="0054545E"/>
    <w:rsid w:val="00545CC4"/>
    <w:rsid w:val="00550BDA"/>
    <w:rsid w:val="005531A8"/>
    <w:rsid w:val="00555698"/>
    <w:rsid w:val="00564A43"/>
    <w:rsid w:val="0056553A"/>
    <w:rsid w:val="005703CC"/>
    <w:rsid w:val="00571763"/>
    <w:rsid w:val="00571F7C"/>
    <w:rsid w:val="00572334"/>
    <w:rsid w:val="005724B4"/>
    <w:rsid w:val="00573383"/>
    <w:rsid w:val="00580035"/>
    <w:rsid w:val="0058025A"/>
    <w:rsid w:val="005806F5"/>
    <w:rsid w:val="005808AB"/>
    <w:rsid w:val="00581A75"/>
    <w:rsid w:val="005833E2"/>
    <w:rsid w:val="00583D75"/>
    <w:rsid w:val="00583F60"/>
    <w:rsid w:val="005844D2"/>
    <w:rsid w:val="00584BD6"/>
    <w:rsid w:val="0059072F"/>
    <w:rsid w:val="00591F94"/>
    <w:rsid w:val="00592B43"/>
    <w:rsid w:val="0059313D"/>
    <w:rsid w:val="00595410"/>
    <w:rsid w:val="00596E57"/>
    <w:rsid w:val="005A0BE3"/>
    <w:rsid w:val="005A0E38"/>
    <w:rsid w:val="005A21A5"/>
    <w:rsid w:val="005A3CDA"/>
    <w:rsid w:val="005A60B7"/>
    <w:rsid w:val="005B1799"/>
    <w:rsid w:val="005B2812"/>
    <w:rsid w:val="005B2FA5"/>
    <w:rsid w:val="005B40D9"/>
    <w:rsid w:val="005C0943"/>
    <w:rsid w:val="005C18E5"/>
    <w:rsid w:val="005C534D"/>
    <w:rsid w:val="005D0D1C"/>
    <w:rsid w:val="005D4B1E"/>
    <w:rsid w:val="005D5765"/>
    <w:rsid w:val="005E1E0C"/>
    <w:rsid w:val="005E22E2"/>
    <w:rsid w:val="005E245F"/>
    <w:rsid w:val="005E7CB0"/>
    <w:rsid w:val="005F156E"/>
    <w:rsid w:val="005F43FC"/>
    <w:rsid w:val="005F7A0A"/>
    <w:rsid w:val="006013CA"/>
    <w:rsid w:val="0060355A"/>
    <w:rsid w:val="00606337"/>
    <w:rsid w:val="00607571"/>
    <w:rsid w:val="00607BA3"/>
    <w:rsid w:val="006104A2"/>
    <w:rsid w:val="0061323E"/>
    <w:rsid w:val="006154E6"/>
    <w:rsid w:val="00616CFB"/>
    <w:rsid w:val="00621316"/>
    <w:rsid w:val="0062186E"/>
    <w:rsid w:val="00622D85"/>
    <w:rsid w:val="00624CDA"/>
    <w:rsid w:val="00626287"/>
    <w:rsid w:val="00632E74"/>
    <w:rsid w:val="006370DF"/>
    <w:rsid w:val="00640253"/>
    <w:rsid w:val="006414AC"/>
    <w:rsid w:val="00642596"/>
    <w:rsid w:val="00642BCD"/>
    <w:rsid w:val="00643141"/>
    <w:rsid w:val="00646C96"/>
    <w:rsid w:val="00653466"/>
    <w:rsid w:val="0065630C"/>
    <w:rsid w:val="0066216D"/>
    <w:rsid w:val="00664100"/>
    <w:rsid w:val="00665CE8"/>
    <w:rsid w:val="00666A5A"/>
    <w:rsid w:val="00667C40"/>
    <w:rsid w:val="006705F8"/>
    <w:rsid w:val="00670ABF"/>
    <w:rsid w:val="00671A6B"/>
    <w:rsid w:val="00672021"/>
    <w:rsid w:val="006729F6"/>
    <w:rsid w:val="00675932"/>
    <w:rsid w:val="00676105"/>
    <w:rsid w:val="00682C00"/>
    <w:rsid w:val="00684120"/>
    <w:rsid w:val="00685EA0"/>
    <w:rsid w:val="0068745E"/>
    <w:rsid w:val="00690304"/>
    <w:rsid w:val="0069070C"/>
    <w:rsid w:val="00691431"/>
    <w:rsid w:val="00691B59"/>
    <w:rsid w:val="00691E13"/>
    <w:rsid w:val="0069321F"/>
    <w:rsid w:val="00695CB3"/>
    <w:rsid w:val="00696BC9"/>
    <w:rsid w:val="006A0770"/>
    <w:rsid w:val="006A08F5"/>
    <w:rsid w:val="006A0C7F"/>
    <w:rsid w:val="006A42C5"/>
    <w:rsid w:val="006A58F5"/>
    <w:rsid w:val="006A71DE"/>
    <w:rsid w:val="006A73ED"/>
    <w:rsid w:val="006A7F4A"/>
    <w:rsid w:val="006B105D"/>
    <w:rsid w:val="006B1C98"/>
    <w:rsid w:val="006B2AD2"/>
    <w:rsid w:val="006C23D9"/>
    <w:rsid w:val="006C31C2"/>
    <w:rsid w:val="006C4390"/>
    <w:rsid w:val="006D22CF"/>
    <w:rsid w:val="006D22F3"/>
    <w:rsid w:val="006D3848"/>
    <w:rsid w:val="006D3B28"/>
    <w:rsid w:val="006D62E2"/>
    <w:rsid w:val="006D7096"/>
    <w:rsid w:val="006D713B"/>
    <w:rsid w:val="006E5DAD"/>
    <w:rsid w:val="006E6C0F"/>
    <w:rsid w:val="006F0F94"/>
    <w:rsid w:val="006F2537"/>
    <w:rsid w:val="006F61EC"/>
    <w:rsid w:val="006F64D7"/>
    <w:rsid w:val="0070282C"/>
    <w:rsid w:val="00705FD2"/>
    <w:rsid w:val="00706FBD"/>
    <w:rsid w:val="00707E5F"/>
    <w:rsid w:val="00711202"/>
    <w:rsid w:val="00711BFF"/>
    <w:rsid w:val="00711F5F"/>
    <w:rsid w:val="007123CE"/>
    <w:rsid w:val="00713FFB"/>
    <w:rsid w:val="00716096"/>
    <w:rsid w:val="00717C50"/>
    <w:rsid w:val="00720CDA"/>
    <w:rsid w:val="00720D77"/>
    <w:rsid w:val="00722414"/>
    <w:rsid w:val="007246B5"/>
    <w:rsid w:val="007260D1"/>
    <w:rsid w:val="007270B5"/>
    <w:rsid w:val="007275DA"/>
    <w:rsid w:val="00731052"/>
    <w:rsid w:val="00731366"/>
    <w:rsid w:val="007354E4"/>
    <w:rsid w:val="0073673B"/>
    <w:rsid w:val="00736BC6"/>
    <w:rsid w:val="00736D16"/>
    <w:rsid w:val="007371D5"/>
    <w:rsid w:val="0074302C"/>
    <w:rsid w:val="0074358D"/>
    <w:rsid w:val="00746347"/>
    <w:rsid w:val="00752343"/>
    <w:rsid w:val="00756605"/>
    <w:rsid w:val="00757440"/>
    <w:rsid w:val="00757CD8"/>
    <w:rsid w:val="007611E2"/>
    <w:rsid w:val="007625CB"/>
    <w:rsid w:val="00764563"/>
    <w:rsid w:val="0076701B"/>
    <w:rsid w:val="00770B4C"/>
    <w:rsid w:val="00770B6A"/>
    <w:rsid w:val="007735D3"/>
    <w:rsid w:val="00773FD3"/>
    <w:rsid w:val="007753CF"/>
    <w:rsid w:val="0077787C"/>
    <w:rsid w:val="0078082B"/>
    <w:rsid w:val="00787842"/>
    <w:rsid w:val="00790AD5"/>
    <w:rsid w:val="00793DA6"/>
    <w:rsid w:val="007963AD"/>
    <w:rsid w:val="0079693D"/>
    <w:rsid w:val="00796A5E"/>
    <w:rsid w:val="00797F7B"/>
    <w:rsid w:val="007A32E7"/>
    <w:rsid w:val="007A3ECC"/>
    <w:rsid w:val="007A5056"/>
    <w:rsid w:val="007A563E"/>
    <w:rsid w:val="007A7931"/>
    <w:rsid w:val="007A7C95"/>
    <w:rsid w:val="007A7EF3"/>
    <w:rsid w:val="007B0376"/>
    <w:rsid w:val="007B1917"/>
    <w:rsid w:val="007B1BAE"/>
    <w:rsid w:val="007B2069"/>
    <w:rsid w:val="007B26A9"/>
    <w:rsid w:val="007B285F"/>
    <w:rsid w:val="007B5154"/>
    <w:rsid w:val="007B60BA"/>
    <w:rsid w:val="007B7D2C"/>
    <w:rsid w:val="007C55B2"/>
    <w:rsid w:val="007C57AD"/>
    <w:rsid w:val="007C6887"/>
    <w:rsid w:val="007C7A2F"/>
    <w:rsid w:val="007C7A66"/>
    <w:rsid w:val="007D17DD"/>
    <w:rsid w:val="007D1E41"/>
    <w:rsid w:val="007D23AF"/>
    <w:rsid w:val="007D7717"/>
    <w:rsid w:val="007E285B"/>
    <w:rsid w:val="007E3DEE"/>
    <w:rsid w:val="007E4803"/>
    <w:rsid w:val="007E72E5"/>
    <w:rsid w:val="007E7DD3"/>
    <w:rsid w:val="007F238F"/>
    <w:rsid w:val="007F4513"/>
    <w:rsid w:val="007F48FE"/>
    <w:rsid w:val="007F5CB0"/>
    <w:rsid w:val="007F670C"/>
    <w:rsid w:val="00804946"/>
    <w:rsid w:val="008059B0"/>
    <w:rsid w:val="008157D6"/>
    <w:rsid w:val="00822BE8"/>
    <w:rsid w:val="00823AE8"/>
    <w:rsid w:val="0082522A"/>
    <w:rsid w:val="00826F21"/>
    <w:rsid w:val="00826FA5"/>
    <w:rsid w:val="00827084"/>
    <w:rsid w:val="00835D54"/>
    <w:rsid w:val="00837458"/>
    <w:rsid w:val="008407D0"/>
    <w:rsid w:val="00843373"/>
    <w:rsid w:val="008447F0"/>
    <w:rsid w:val="00847391"/>
    <w:rsid w:val="00847FDA"/>
    <w:rsid w:val="0085081A"/>
    <w:rsid w:val="00851AAE"/>
    <w:rsid w:val="0085263E"/>
    <w:rsid w:val="00852DAD"/>
    <w:rsid w:val="00855849"/>
    <w:rsid w:val="008559C3"/>
    <w:rsid w:val="0085669C"/>
    <w:rsid w:val="0085679D"/>
    <w:rsid w:val="00856E88"/>
    <w:rsid w:val="00860733"/>
    <w:rsid w:val="00861D6F"/>
    <w:rsid w:val="00861F41"/>
    <w:rsid w:val="00864A1A"/>
    <w:rsid w:val="00865F41"/>
    <w:rsid w:val="008679D2"/>
    <w:rsid w:val="00867C6E"/>
    <w:rsid w:val="00873097"/>
    <w:rsid w:val="00874810"/>
    <w:rsid w:val="00874AD0"/>
    <w:rsid w:val="00875088"/>
    <w:rsid w:val="008755A5"/>
    <w:rsid w:val="00876FB2"/>
    <w:rsid w:val="00880627"/>
    <w:rsid w:val="00880898"/>
    <w:rsid w:val="00882079"/>
    <w:rsid w:val="00883674"/>
    <w:rsid w:val="008853CD"/>
    <w:rsid w:val="00885E95"/>
    <w:rsid w:val="00887708"/>
    <w:rsid w:val="008904C2"/>
    <w:rsid w:val="00891A34"/>
    <w:rsid w:val="00892D70"/>
    <w:rsid w:val="0089391E"/>
    <w:rsid w:val="00897E86"/>
    <w:rsid w:val="008A003E"/>
    <w:rsid w:val="008A0991"/>
    <w:rsid w:val="008A0CED"/>
    <w:rsid w:val="008A23F0"/>
    <w:rsid w:val="008A253E"/>
    <w:rsid w:val="008A2E9E"/>
    <w:rsid w:val="008A3DDA"/>
    <w:rsid w:val="008A44FC"/>
    <w:rsid w:val="008A4FAD"/>
    <w:rsid w:val="008B0899"/>
    <w:rsid w:val="008B151D"/>
    <w:rsid w:val="008B21B3"/>
    <w:rsid w:val="008B5F1F"/>
    <w:rsid w:val="008B6172"/>
    <w:rsid w:val="008B7F69"/>
    <w:rsid w:val="008C0584"/>
    <w:rsid w:val="008C195B"/>
    <w:rsid w:val="008C22BD"/>
    <w:rsid w:val="008C37F8"/>
    <w:rsid w:val="008C66F4"/>
    <w:rsid w:val="008C6726"/>
    <w:rsid w:val="008D17B4"/>
    <w:rsid w:val="008D387C"/>
    <w:rsid w:val="008D3F0D"/>
    <w:rsid w:val="008D53E4"/>
    <w:rsid w:val="008E0405"/>
    <w:rsid w:val="008E1A76"/>
    <w:rsid w:val="008E2EDD"/>
    <w:rsid w:val="008E41C9"/>
    <w:rsid w:val="008E60AA"/>
    <w:rsid w:val="008E6A43"/>
    <w:rsid w:val="008F0A1F"/>
    <w:rsid w:val="008F10EE"/>
    <w:rsid w:val="008F2F68"/>
    <w:rsid w:val="008F37F1"/>
    <w:rsid w:val="009066E5"/>
    <w:rsid w:val="00907DBD"/>
    <w:rsid w:val="00912448"/>
    <w:rsid w:val="00912FD9"/>
    <w:rsid w:val="00913126"/>
    <w:rsid w:val="009140FB"/>
    <w:rsid w:val="00914C13"/>
    <w:rsid w:val="009165D1"/>
    <w:rsid w:val="009215FE"/>
    <w:rsid w:val="00921747"/>
    <w:rsid w:val="0092407B"/>
    <w:rsid w:val="00925D2B"/>
    <w:rsid w:val="00927977"/>
    <w:rsid w:val="00930300"/>
    <w:rsid w:val="00932EA0"/>
    <w:rsid w:val="00936FA4"/>
    <w:rsid w:val="009375F0"/>
    <w:rsid w:val="00940CEB"/>
    <w:rsid w:val="00941193"/>
    <w:rsid w:val="00941A17"/>
    <w:rsid w:val="00942948"/>
    <w:rsid w:val="0094330F"/>
    <w:rsid w:val="009439D3"/>
    <w:rsid w:val="00943E64"/>
    <w:rsid w:val="0094420E"/>
    <w:rsid w:val="009447F8"/>
    <w:rsid w:val="00944A8F"/>
    <w:rsid w:val="0094535B"/>
    <w:rsid w:val="009456C1"/>
    <w:rsid w:val="009462DC"/>
    <w:rsid w:val="0094780B"/>
    <w:rsid w:val="00947885"/>
    <w:rsid w:val="009509C5"/>
    <w:rsid w:val="00952A5B"/>
    <w:rsid w:val="00953B3F"/>
    <w:rsid w:val="00953D9E"/>
    <w:rsid w:val="00957A99"/>
    <w:rsid w:val="00960264"/>
    <w:rsid w:val="00961317"/>
    <w:rsid w:val="00961A50"/>
    <w:rsid w:val="009627D5"/>
    <w:rsid w:val="009627D6"/>
    <w:rsid w:val="009660E1"/>
    <w:rsid w:val="0097583A"/>
    <w:rsid w:val="009761EE"/>
    <w:rsid w:val="009804AB"/>
    <w:rsid w:val="009810C1"/>
    <w:rsid w:val="00983E7D"/>
    <w:rsid w:val="009861C9"/>
    <w:rsid w:val="00987451"/>
    <w:rsid w:val="00987772"/>
    <w:rsid w:val="009904AF"/>
    <w:rsid w:val="009915B7"/>
    <w:rsid w:val="00992210"/>
    <w:rsid w:val="009929F6"/>
    <w:rsid w:val="00992D53"/>
    <w:rsid w:val="00995AD7"/>
    <w:rsid w:val="00996E6F"/>
    <w:rsid w:val="009A1998"/>
    <w:rsid w:val="009A2F7A"/>
    <w:rsid w:val="009A3E46"/>
    <w:rsid w:val="009A4004"/>
    <w:rsid w:val="009A4C0C"/>
    <w:rsid w:val="009A6072"/>
    <w:rsid w:val="009B2170"/>
    <w:rsid w:val="009B3CCB"/>
    <w:rsid w:val="009B5AE3"/>
    <w:rsid w:val="009C11E3"/>
    <w:rsid w:val="009C1BC7"/>
    <w:rsid w:val="009C27BA"/>
    <w:rsid w:val="009C336E"/>
    <w:rsid w:val="009C4F78"/>
    <w:rsid w:val="009D051C"/>
    <w:rsid w:val="009D0CA3"/>
    <w:rsid w:val="009D5BC9"/>
    <w:rsid w:val="009E077F"/>
    <w:rsid w:val="009E111D"/>
    <w:rsid w:val="009E1917"/>
    <w:rsid w:val="009E23A8"/>
    <w:rsid w:val="009E4104"/>
    <w:rsid w:val="009E4626"/>
    <w:rsid w:val="009E70FF"/>
    <w:rsid w:val="009E7146"/>
    <w:rsid w:val="009E7C21"/>
    <w:rsid w:val="009F1556"/>
    <w:rsid w:val="009F1687"/>
    <w:rsid w:val="009F3FA2"/>
    <w:rsid w:val="009F49F6"/>
    <w:rsid w:val="009F5433"/>
    <w:rsid w:val="009F5DA8"/>
    <w:rsid w:val="009F69E3"/>
    <w:rsid w:val="00A00F21"/>
    <w:rsid w:val="00A01ED0"/>
    <w:rsid w:val="00A021E8"/>
    <w:rsid w:val="00A02632"/>
    <w:rsid w:val="00A0384E"/>
    <w:rsid w:val="00A043AE"/>
    <w:rsid w:val="00A0468C"/>
    <w:rsid w:val="00A06317"/>
    <w:rsid w:val="00A076EF"/>
    <w:rsid w:val="00A1169A"/>
    <w:rsid w:val="00A1228F"/>
    <w:rsid w:val="00A12547"/>
    <w:rsid w:val="00A140F4"/>
    <w:rsid w:val="00A16588"/>
    <w:rsid w:val="00A17100"/>
    <w:rsid w:val="00A2113C"/>
    <w:rsid w:val="00A21990"/>
    <w:rsid w:val="00A21FFB"/>
    <w:rsid w:val="00A22394"/>
    <w:rsid w:val="00A22FA9"/>
    <w:rsid w:val="00A237CF"/>
    <w:rsid w:val="00A23C8C"/>
    <w:rsid w:val="00A24762"/>
    <w:rsid w:val="00A25AA3"/>
    <w:rsid w:val="00A3079B"/>
    <w:rsid w:val="00A30D0D"/>
    <w:rsid w:val="00A3210F"/>
    <w:rsid w:val="00A34F17"/>
    <w:rsid w:val="00A440FE"/>
    <w:rsid w:val="00A45822"/>
    <w:rsid w:val="00A45B6D"/>
    <w:rsid w:val="00A52313"/>
    <w:rsid w:val="00A618C0"/>
    <w:rsid w:val="00A6218E"/>
    <w:rsid w:val="00A63BAB"/>
    <w:rsid w:val="00A669FC"/>
    <w:rsid w:val="00A6725A"/>
    <w:rsid w:val="00A703B0"/>
    <w:rsid w:val="00A70F2B"/>
    <w:rsid w:val="00A70F71"/>
    <w:rsid w:val="00A738F3"/>
    <w:rsid w:val="00A73F3B"/>
    <w:rsid w:val="00A7443A"/>
    <w:rsid w:val="00A74F65"/>
    <w:rsid w:val="00A7743A"/>
    <w:rsid w:val="00A77F9C"/>
    <w:rsid w:val="00A81248"/>
    <w:rsid w:val="00A826DD"/>
    <w:rsid w:val="00A82AE3"/>
    <w:rsid w:val="00A84181"/>
    <w:rsid w:val="00A8513C"/>
    <w:rsid w:val="00A85B3F"/>
    <w:rsid w:val="00A87382"/>
    <w:rsid w:val="00A9089A"/>
    <w:rsid w:val="00A91C73"/>
    <w:rsid w:val="00A93405"/>
    <w:rsid w:val="00A93A92"/>
    <w:rsid w:val="00A9788D"/>
    <w:rsid w:val="00A97D2A"/>
    <w:rsid w:val="00AA04E0"/>
    <w:rsid w:val="00AA35EE"/>
    <w:rsid w:val="00AA41A5"/>
    <w:rsid w:val="00AA469B"/>
    <w:rsid w:val="00AA5A86"/>
    <w:rsid w:val="00AA5F7B"/>
    <w:rsid w:val="00AB122F"/>
    <w:rsid w:val="00AB1F4F"/>
    <w:rsid w:val="00AB26B7"/>
    <w:rsid w:val="00AB5D44"/>
    <w:rsid w:val="00AC01C5"/>
    <w:rsid w:val="00AC1843"/>
    <w:rsid w:val="00AC1A17"/>
    <w:rsid w:val="00AC3B45"/>
    <w:rsid w:val="00AC4C40"/>
    <w:rsid w:val="00AC6F42"/>
    <w:rsid w:val="00AC7CC5"/>
    <w:rsid w:val="00AC7EB1"/>
    <w:rsid w:val="00AD27B1"/>
    <w:rsid w:val="00AD4CBF"/>
    <w:rsid w:val="00AD597C"/>
    <w:rsid w:val="00AE0B86"/>
    <w:rsid w:val="00AE35A0"/>
    <w:rsid w:val="00AE675C"/>
    <w:rsid w:val="00AE7660"/>
    <w:rsid w:val="00AF3273"/>
    <w:rsid w:val="00AF4849"/>
    <w:rsid w:val="00AF5571"/>
    <w:rsid w:val="00B00C25"/>
    <w:rsid w:val="00B03A74"/>
    <w:rsid w:val="00B0418D"/>
    <w:rsid w:val="00B04C8A"/>
    <w:rsid w:val="00B05769"/>
    <w:rsid w:val="00B05FD1"/>
    <w:rsid w:val="00B06E23"/>
    <w:rsid w:val="00B07B62"/>
    <w:rsid w:val="00B20814"/>
    <w:rsid w:val="00B20F73"/>
    <w:rsid w:val="00B2745D"/>
    <w:rsid w:val="00B2750E"/>
    <w:rsid w:val="00B300E5"/>
    <w:rsid w:val="00B33BF0"/>
    <w:rsid w:val="00B33D41"/>
    <w:rsid w:val="00B365D3"/>
    <w:rsid w:val="00B3767D"/>
    <w:rsid w:val="00B41951"/>
    <w:rsid w:val="00B434A9"/>
    <w:rsid w:val="00B4395B"/>
    <w:rsid w:val="00B46283"/>
    <w:rsid w:val="00B505B3"/>
    <w:rsid w:val="00B51B44"/>
    <w:rsid w:val="00B55633"/>
    <w:rsid w:val="00B60245"/>
    <w:rsid w:val="00B60985"/>
    <w:rsid w:val="00B61C6D"/>
    <w:rsid w:val="00B63767"/>
    <w:rsid w:val="00B646A2"/>
    <w:rsid w:val="00B64EFB"/>
    <w:rsid w:val="00B66165"/>
    <w:rsid w:val="00B706A8"/>
    <w:rsid w:val="00B74D58"/>
    <w:rsid w:val="00B7577B"/>
    <w:rsid w:val="00B80282"/>
    <w:rsid w:val="00B815CA"/>
    <w:rsid w:val="00B829D6"/>
    <w:rsid w:val="00B86790"/>
    <w:rsid w:val="00B87670"/>
    <w:rsid w:val="00B90C55"/>
    <w:rsid w:val="00B93059"/>
    <w:rsid w:val="00B94509"/>
    <w:rsid w:val="00B94663"/>
    <w:rsid w:val="00B96765"/>
    <w:rsid w:val="00B97131"/>
    <w:rsid w:val="00B97191"/>
    <w:rsid w:val="00B97CE2"/>
    <w:rsid w:val="00BA0A56"/>
    <w:rsid w:val="00BA2B4B"/>
    <w:rsid w:val="00BA3936"/>
    <w:rsid w:val="00BA414B"/>
    <w:rsid w:val="00BA50AD"/>
    <w:rsid w:val="00BA58B9"/>
    <w:rsid w:val="00BA62D2"/>
    <w:rsid w:val="00BA72ED"/>
    <w:rsid w:val="00BA7357"/>
    <w:rsid w:val="00BA7D23"/>
    <w:rsid w:val="00BB0F20"/>
    <w:rsid w:val="00BB163E"/>
    <w:rsid w:val="00BB1709"/>
    <w:rsid w:val="00BB26DB"/>
    <w:rsid w:val="00BB29E2"/>
    <w:rsid w:val="00BB5C60"/>
    <w:rsid w:val="00BB6043"/>
    <w:rsid w:val="00BB6F19"/>
    <w:rsid w:val="00BB79B1"/>
    <w:rsid w:val="00BC0857"/>
    <w:rsid w:val="00BC143E"/>
    <w:rsid w:val="00BC1785"/>
    <w:rsid w:val="00BC2709"/>
    <w:rsid w:val="00BC3101"/>
    <w:rsid w:val="00BC5103"/>
    <w:rsid w:val="00BC62D7"/>
    <w:rsid w:val="00BC66BE"/>
    <w:rsid w:val="00BC6D23"/>
    <w:rsid w:val="00BC7E1C"/>
    <w:rsid w:val="00BD3869"/>
    <w:rsid w:val="00BD39EB"/>
    <w:rsid w:val="00BD3DDB"/>
    <w:rsid w:val="00BD4C80"/>
    <w:rsid w:val="00BD559F"/>
    <w:rsid w:val="00BD5B88"/>
    <w:rsid w:val="00BD5F72"/>
    <w:rsid w:val="00BD60CB"/>
    <w:rsid w:val="00BD62FB"/>
    <w:rsid w:val="00BD64CA"/>
    <w:rsid w:val="00BD7549"/>
    <w:rsid w:val="00BE5DCC"/>
    <w:rsid w:val="00BE5F8B"/>
    <w:rsid w:val="00BF1557"/>
    <w:rsid w:val="00BF2E88"/>
    <w:rsid w:val="00BF37D5"/>
    <w:rsid w:val="00BF5491"/>
    <w:rsid w:val="00BF579A"/>
    <w:rsid w:val="00BF6F6F"/>
    <w:rsid w:val="00BF7094"/>
    <w:rsid w:val="00C0066D"/>
    <w:rsid w:val="00C016F6"/>
    <w:rsid w:val="00C03645"/>
    <w:rsid w:val="00C03766"/>
    <w:rsid w:val="00C03DA4"/>
    <w:rsid w:val="00C04E03"/>
    <w:rsid w:val="00C0632D"/>
    <w:rsid w:val="00C10116"/>
    <w:rsid w:val="00C108CD"/>
    <w:rsid w:val="00C11549"/>
    <w:rsid w:val="00C11A05"/>
    <w:rsid w:val="00C1368C"/>
    <w:rsid w:val="00C17458"/>
    <w:rsid w:val="00C17621"/>
    <w:rsid w:val="00C17B66"/>
    <w:rsid w:val="00C17C21"/>
    <w:rsid w:val="00C206B3"/>
    <w:rsid w:val="00C21BFE"/>
    <w:rsid w:val="00C22141"/>
    <w:rsid w:val="00C22170"/>
    <w:rsid w:val="00C24488"/>
    <w:rsid w:val="00C2459E"/>
    <w:rsid w:val="00C2536A"/>
    <w:rsid w:val="00C255C1"/>
    <w:rsid w:val="00C255F8"/>
    <w:rsid w:val="00C26509"/>
    <w:rsid w:val="00C30367"/>
    <w:rsid w:val="00C304F0"/>
    <w:rsid w:val="00C3558B"/>
    <w:rsid w:val="00C36E23"/>
    <w:rsid w:val="00C4006D"/>
    <w:rsid w:val="00C40565"/>
    <w:rsid w:val="00C406B6"/>
    <w:rsid w:val="00C41325"/>
    <w:rsid w:val="00C413BE"/>
    <w:rsid w:val="00C42362"/>
    <w:rsid w:val="00C42591"/>
    <w:rsid w:val="00C45FD3"/>
    <w:rsid w:val="00C5210A"/>
    <w:rsid w:val="00C5295A"/>
    <w:rsid w:val="00C53578"/>
    <w:rsid w:val="00C53F58"/>
    <w:rsid w:val="00C544F8"/>
    <w:rsid w:val="00C54C4A"/>
    <w:rsid w:val="00C55BE9"/>
    <w:rsid w:val="00C61A0D"/>
    <w:rsid w:val="00C61A61"/>
    <w:rsid w:val="00C62219"/>
    <w:rsid w:val="00C6280C"/>
    <w:rsid w:val="00C6435D"/>
    <w:rsid w:val="00C71FAC"/>
    <w:rsid w:val="00C732FF"/>
    <w:rsid w:val="00C73330"/>
    <w:rsid w:val="00C7364D"/>
    <w:rsid w:val="00C764A3"/>
    <w:rsid w:val="00C814C4"/>
    <w:rsid w:val="00C8255D"/>
    <w:rsid w:val="00C8328B"/>
    <w:rsid w:val="00C836E3"/>
    <w:rsid w:val="00C858B9"/>
    <w:rsid w:val="00C87265"/>
    <w:rsid w:val="00C90750"/>
    <w:rsid w:val="00C939FC"/>
    <w:rsid w:val="00C94895"/>
    <w:rsid w:val="00CA1D34"/>
    <w:rsid w:val="00CA2683"/>
    <w:rsid w:val="00CA3194"/>
    <w:rsid w:val="00CA4799"/>
    <w:rsid w:val="00CA492B"/>
    <w:rsid w:val="00CA60D9"/>
    <w:rsid w:val="00CA6AF4"/>
    <w:rsid w:val="00CA7492"/>
    <w:rsid w:val="00CB16F7"/>
    <w:rsid w:val="00CB6394"/>
    <w:rsid w:val="00CC00C4"/>
    <w:rsid w:val="00CC0132"/>
    <w:rsid w:val="00CC16CD"/>
    <w:rsid w:val="00CC6345"/>
    <w:rsid w:val="00CC6838"/>
    <w:rsid w:val="00CD0241"/>
    <w:rsid w:val="00CD18A0"/>
    <w:rsid w:val="00CD4130"/>
    <w:rsid w:val="00CD44C2"/>
    <w:rsid w:val="00CD50AB"/>
    <w:rsid w:val="00CD7F12"/>
    <w:rsid w:val="00CD7FB6"/>
    <w:rsid w:val="00CE0CA7"/>
    <w:rsid w:val="00CE10D8"/>
    <w:rsid w:val="00CE3B97"/>
    <w:rsid w:val="00CE7DE2"/>
    <w:rsid w:val="00CF46A3"/>
    <w:rsid w:val="00CF6382"/>
    <w:rsid w:val="00CF797E"/>
    <w:rsid w:val="00CF7D58"/>
    <w:rsid w:val="00D07C12"/>
    <w:rsid w:val="00D12477"/>
    <w:rsid w:val="00D130B8"/>
    <w:rsid w:val="00D156D0"/>
    <w:rsid w:val="00D21880"/>
    <w:rsid w:val="00D23C6D"/>
    <w:rsid w:val="00D24D14"/>
    <w:rsid w:val="00D26300"/>
    <w:rsid w:val="00D2679C"/>
    <w:rsid w:val="00D2736B"/>
    <w:rsid w:val="00D2790C"/>
    <w:rsid w:val="00D3785B"/>
    <w:rsid w:val="00D37B7E"/>
    <w:rsid w:val="00D40FE4"/>
    <w:rsid w:val="00D410AA"/>
    <w:rsid w:val="00D452E8"/>
    <w:rsid w:val="00D45F75"/>
    <w:rsid w:val="00D46354"/>
    <w:rsid w:val="00D47DE0"/>
    <w:rsid w:val="00D5411B"/>
    <w:rsid w:val="00D5594E"/>
    <w:rsid w:val="00D55A40"/>
    <w:rsid w:val="00D55AD3"/>
    <w:rsid w:val="00D6016C"/>
    <w:rsid w:val="00D615B8"/>
    <w:rsid w:val="00D61C67"/>
    <w:rsid w:val="00D6296B"/>
    <w:rsid w:val="00D63D5E"/>
    <w:rsid w:val="00D65B4D"/>
    <w:rsid w:val="00D66514"/>
    <w:rsid w:val="00D70EC2"/>
    <w:rsid w:val="00D72655"/>
    <w:rsid w:val="00D734A3"/>
    <w:rsid w:val="00D7594C"/>
    <w:rsid w:val="00D75C06"/>
    <w:rsid w:val="00D804FD"/>
    <w:rsid w:val="00D80B6C"/>
    <w:rsid w:val="00D863A3"/>
    <w:rsid w:val="00D86529"/>
    <w:rsid w:val="00D86874"/>
    <w:rsid w:val="00D86AE7"/>
    <w:rsid w:val="00D87628"/>
    <w:rsid w:val="00D90605"/>
    <w:rsid w:val="00D9088B"/>
    <w:rsid w:val="00D90BF9"/>
    <w:rsid w:val="00D90E26"/>
    <w:rsid w:val="00D913EB"/>
    <w:rsid w:val="00D91771"/>
    <w:rsid w:val="00D917C1"/>
    <w:rsid w:val="00D94CF7"/>
    <w:rsid w:val="00D96D90"/>
    <w:rsid w:val="00DA6F82"/>
    <w:rsid w:val="00DB001A"/>
    <w:rsid w:val="00DB1D5C"/>
    <w:rsid w:val="00DB4C77"/>
    <w:rsid w:val="00DB5B67"/>
    <w:rsid w:val="00DB732B"/>
    <w:rsid w:val="00DC538A"/>
    <w:rsid w:val="00DC7AE7"/>
    <w:rsid w:val="00DC7B95"/>
    <w:rsid w:val="00DC7F51"/>
    <w:rsid w:val="00DD2351"/>
    <w:rsid w:val="00DD257D"/>
    <w:rsid w:val="00DD2CA8"/>
    <w:rsid w:val="00DD315C"/>
    <w:rsid w:val="00DD403E"/>
    <w:rsid w:val="00DD53D0"/>
    <w:rsid w:val="00DD6BD9"/>
    <w:rsid w:val="00DD73BA"/>
    <w:rsid w:val="00DE2AA7"/>
    <w:rsid w:val="00DE3CBA"/>
    <w:rsid w:val="00DE42DA"/>
    <w:rsid w:val="00DE4572"/>
    <w:rsid w:val="00DE5661"/>
    <w:rsid w:val="00DF01A6"/>
    <w:rsid w:val="00DF150A"/>
    <w:rsid w:val="00DF237B"/>
    <w:rsid w:val="00DF2ABE"/>
    <w:rsid w:val="00DF6D89"/>
    <w:rsid w:val="00DF7F80"/>
    <w:rsid w:val="00E02B2D"/>
    <w:rsid w:val="00E0556A"/>
    <w:rsid w:val="00E074CD"/>
    <w:rsid w:val="00E11983"/>
    <w:rsid w:val="00E126EB"/>
    <w:rsid w:val="00E13EBC"/>
    <w:rsid w:val="00E15407"/>
    <w:rsid w:val="00E15492"/>
    <w:rsid w:val="00E17E0F"/>
    <w:rsid w:val="00E2049E"/>
    <w:rsid w:val="00E26E38"/>
    <w:rsid w:val="00E351D6"/>
    <w:rsid w:val="00E35777"/>
    <w:rsid w:val="00E36315"/>
    <w:rsid w:val="00E36ACB"/>
    <w:rsid w:val="00E37D7B"/>
    <w:rsid w:val="00E40BFD"/>
    <w:rsid w:val="00E45DF5"/>
    <w:rsid w:val="00E45F1E"/>
    <w:rsid w:val="00E46CBE"/>
    <w:rsid w:val="00E47307"/>
    <w:rsid w:val="00E506F8"/>
    <w:rsid w:val="00E52135"/>
    <w:rsid w:val="00E53F3B"/>
    <w:rsid w:val="00E54D56"/>
    <w:rsid w:val="00E60AEE"/>
    <w:rsid w:val="00E6281C"/>
    <w:rsid w:val="00E65791"/>
    <w:rsid w:val="00E702E7"/>
    <w:rsid w:val="00E72DCA"/>
    <w:rsid w:val="00E7310A"/>
    <w:rsid w:val="00E73BC7"/>
    <w:rsid w:val="00E761F3"/>
    <w:rsid w:val="00E77A12"/>
    <w:rsid w:val="00E77C7A"/>
    <w:rsid w:val="00E819E2"/>
    <w:rsid w:val="00E81F0D"/>
    <w:rsid w:val="00E81F5D"/>
    <w:rsid w:val="00E8491A"/>
    <w:rsid w:val="00E901AE"/>
    <w:rsid w:val="00E90517"/>
    <w:rsid w:val="00E94035"/>
    <w:rsid w:val="00E957AB"/>
    <w:rsid w:val="00E957D8"/>
    <w:rsid w:val="00E973E7"/>
    <w:rsid w:val="00E97C88"/>
    <w:rsid w:val="00E97DEB"/>
    <w:rsid w:val="00EA083B"/>
    <w:rsid w:val="00EA0C5F"/>
    <w:rsid w:val="00EA16D4"/>
    <w:rsid w:val="00EA5365"/>
    <w:rsid w:val="00EA58B6"/>
    <w:rsid w:val="00EA5DE1"/>
    <w:rsid w:val="00EA67A8"/>
    <w:rsid w:val="00EB6637"/>
    <w:rsid w:val="00EC01CF"/>
    <w:rsid w:val="00EC18C8"/>
    <w:rsid w:val="00EC2619"/>
    <w:rsid w:val="00EC34AC"/>
    <w:rsid w:val="00EC39FE"/>
    <w:rsid w:val="00EC714F"/>
    <w:rsid w:val="00ED1E1A"/>
    <w:rsid w:val="00ED26E5"/>
    <w:rsid w:val="00ED3E51"/>
    <w:rsid w:val="00ED6134"/>
    <w:rsid w:val="00ED7A29"/>
    <w:rsid w:val="00ED7C98"/>
    <w:rsid w:val="00EE04E3"/>
    <w:rsid w:val="00EE05D2"/>
    <w:rsid w:val="00EE2DE2"/>
    <w:rsid w:val="00EE5971"/>
    <w:rsid w:val="00EE6C6B"/>
    <w:rsid w:val="00EF000B"/>
    <w:rsid w:val="00EF5320"/>
    <w:rsid w:val="00EF6158"/>
    <w:rsid w:val="00EF7AAA"/>
    <w:rsid w:val="00F03C66"/>
    <w:rsid w:val="00F068C5"/>
    <w:rsid w:val="00F07E64"/>
    <w:rsid w:val="00F07EB1"/>
    <w:rsid w:val="00F21A3C"/>
    <w:rsid w:val="00F26052"/>
    <w:rsid w:val="00F300C6"/>
    <w:rsid w:val="00F318F3"/>
    <w:rsid w:val="00F31A76"/>
    <w:rsid w:val="00F32760"/>
    <w:rsid w:val="00F358F5"/>
    <w:rsid w:val="00F36630"/>
    <w:rsid w:val="00F37224"/>
    <w:rsid w:val="00F40BF1"/>
    <w:rsid w:val="00F41EDD"/>
    <w:rsid w:val="00F42089"/>
    <w:rsid w:val="00F423F4"/>
    <w:rsid w:val="00F43A6E"/>
    <w:rsid w:val="00F5197C"/>
    <w:rsid w:val="00F54A2C"/>
    <w:rsid w:val="00F55BE4"/>
    <w:rsid w:val="00F608D4"/>
    <w:rsid w:val="00F60B31"/>
    <w:rsid w:val="00F62122"/>
    <w:rsid w:val="00F62E53"/>
    <w:rsid w:val="00F65951"/>
    <w:rsid w:val="00F6642E"/>
    <w:rsid w:val="00F66D1B"/>
    <w:rsid w:val="00F7172F"/>
    <w:rsid w:val="00F72732"/>
    <w:rsid w:val="00F75A85"/>
    <w:rsid w:val="00F76CCF"/>
    <w:rsid w:val="00F811F2"/>
    <w:rsid w:val="00F8193F"/>
    <w:rsid w:val="00F83405"/>
    <w:rsid w:val="00F871CA"/>
    <w:rsid w:val="00F87311"/>
    <w:rsid w:val="00F874C8"/>
    <w:rsid w:val="00F8772F"/>
    <w:rsid w:val="00F877C4"/>
    <w:rsid w:val="00F90448"/>
    <w:rsid w:val="00F908AC"/>
    <w:rsid w:val="00F94BB1"/>
    <w:rsid w:val="00F95A54"/>
    <w:rsid w:val="00F96C62"/>
    <w:rsid w:val="00F97B98"/>
    <w:rsid w:val="00FA4532"/>
    <w:rsid w:val="00FA69D6"/>
    <w:rsid w:val="00FB2673"/>
    <w:rsid w:val="00FC1CBC"/>
    <w:rsid w:val="00FC294B"/>
    <w:rsid w:val="00FC2BCF"/>
    <w:rsid w:val="00FC3441"/>
    <w:rsid w:val="00FC41F0"/>
    <w:rsid w:val="00FD385E"/>
    <w:rsid w:val="00FD524E"/>
    <w:rsid w:val="00FD57A5"/>
    <w:rsid w:val="00FD6FD2"/>
    <w:rsid w:val="00FE0DF1"/>
    <w:rsid w:val="00FE184A"/>
    <w:rsid w:val="00FE248E"/>
    <w:rsid w:val="00FE267F"/>
    <w:rsid w:val="00FF1358"/>
    <w:rsid w:val="00FF29E3"/>
    <w:rsid w:val="00FF3561"/>
    <w:rsid w:val="00FF38BA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11"/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BC9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4C0C"/>
    <w:pPr>
      <w:keepNext/>
      <w:keepLines/>
      <w:numPr>
        <w:ilvl w:val="1"/>
        <w:numId w:val="2"/>
      </w:numPr>
      <w:spacing w:before="28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rsid w:val="00B93059"/>
    <w:pPr>
      <w:keepNext/>
      <w:numPr>
        <w:ilvl w:val="2"/>
        <w:numId w:val="2"/>
      </w:numPr>
      <w:spacing w:before="280" w:after="2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FC2BC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BC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BC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BC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BC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BC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BC9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A4C0C"/>
    <w:rPr>
      <w:rFonts w:eastAsiaTheme="majorEastAsia" w:cstheme="majorBidi"/>
      <w:b/>
      <w:sz w:val="28"/>
      <w:szCs w:val="26"/>
    </w:rPr>
  </w:style>
  <w:style w:type="paragraph" w:styleId="a3">
    <w:name w:val="Title"/>
    <w:basedOn w:val="3"/>
    <w:next w:val="a"/>
    <w:link w:val="a4"/>
    <w:autoRedefine/>
    <w:uiPriority w:val="10"/>
    <w:qFormat/>
    <w:rsid w:val="009A4C0C"/>
    <w:pPr>
      <w:spacing w:before="240"/>
      <w:contextualSpacing/>
    </w:pPr>
    <w:rPr>
      <w:b w:val="0"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BA7357"/>
    <w:rPr>
      <w:rFonts w:eastAsiaTheme="majorEastAsia" w:cstheme="majorBidi"/>
      <w:spacing w:val="-10"/>
      <w:kern w:val="28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36ACB"/>
    <w:pPr>
      <w:numPr>
        <w:ilvl w:val="1"/>
      </w:numPr>
      <w:spacing w:after="160"/>
      <w:ind w:firstLine="709"/>
    </w:pPr>
    <w:rPr>
      <w:rFonts w:eastAsiaTheme="minorEastAsia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36ACB"/>
    <w:rPr>
      <w:rFonts w:eastAsiaTheme="minorEastAsia" w:cstheme="minorBidi"/>
      <w:spacing w:val="15"/>
      <w:szCs w:val="22"/>
    </w:rPr>
  </w:style>
  <w:style w:type="paragraph" w:styleId="a7">
    <w:name w:val="List Paragraph"/>
    <w:basedOn w:val="a"/>
    <w:uiPriority w:val="34"/>
    <w:qFormat/>
    <w:rsid w:val="003B5D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3059"/>
    <w:rPr>
      <w:rFonts w:eastAsiaTheme="majorEastAsia" w:cstheme="majorBidi"/>
      <w:b/>
    </w:rPr>
  </w:style>
  <w:style w:type="character" w:customStyle="1" w:styleId="40">
    <w:name w:val="Заголовок 4 Знак"/>
    <w:basedOn w:val="a0"/>
    <w:link w:val="4"/>
    <w:uiPriority w:val="9"/>
    <w:rsid w:val="00FC2BCF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C2BCF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C2BCF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C2BCF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C2B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C2B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8">
    <w:name w:val="Hyperlink"/>
    <w:basedOn w:val="a0"/>
    <w:uiPriority w:val="99"/>
    <w:unhideWhenUsed/>
    <w:rsid w:val="003932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24A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39324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324A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324A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65205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77C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77C4"/>
    <w:rPr>
      <w:rFonts w:ascii="Arial" w:hAnsi="Arial" w:cs="Arial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19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1951"/>
    <w:pPr>
      <w:spacing w:after="16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1951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D65"/>
    <w:pPr>
      <w:spacing w:after="120"/>
      <w:ind w:firstLine="709"/>
      <w:jc w:val="both"/>
    </w:pPr>
    <w:rPr>
      <w:rFonts w:ascii="Times New Roman" w:hAnsi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D65"/>
    <w:rPr>
      <w:rFonts w:asciiTheme="minorHAnsi" w:hAnsiTheme="minorHAnsi" w:cstheme="minorBidi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D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D051C"/>
    <w:rPr>
      <w:rFonts w:cstheme="minorBidi"/>
      <w:szCs w:val="22"/>
    </w:rPr>
  </w:style>
  <w:style w:type="paragraph" w:styleId="af6">
    <w:name w:val="footer"/>
    <w:basedOn w:val="a"/>
    <w:link w:val="af7"/>
    <w:unhideWhenUsed/>
    <w:rsid w:val="009D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9D051C"/>
    <w:rPr>
      <w:rFonts w:cstheme="minorBidi"/>
      <w:szCs w:val="22"/>
    </w:rPr>
  </w:style>
  <w:style w:type="paragraph" w:styleId="af8">
    <w:name w:val="caption"/>
    <w:basedOn w:val="a"/>
    <w:next w:val="a"/>
    <w:uiPriority w:val="35"/>
    <w:unhideWhenUsed/>
    <w:qFormat/>
    <w:rsid w:val="002D7E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9">
    <w:name w:val="Body Text"/>
    <w:basedOn w:val="a"/>
    <w:link w:val="afa"/>
    <w:uiPriority w:val="1"/>
    <w:qFormat/>
    <w:rsid w:val="00CA492B"/>
    <w:pPr>
      <w:widowControl w:val="0"/>
      <w:spacing w:before="1" w:after="0" w:line="240" w:lineRule="auto"/>
      <w:ind w:left="112" w:firstLine="708"/>
      <w:jc w:val="left"/>
    </w:pPr>
    <w:rPr>
      <w:rFonts w:eastAsia="Times New Roman"/>
      <w:sz w:val="26"/>
      <w:szCs w:val="26"/>
      <w:lang w:val="en-US"/>
    </w:rPr>
  </w:style>
  <w:style w:type="character" w:customStyle="1" w:styleId="afa">
    <w:name w:val="Основной текст Знак"/>
    <w:basedOn w:val="a0"/>
    <w:link w:val="af9"/>
    <w:uiPriority w:val="1"/>
    <w:rsid w:val="00CA492B"/>
    <w:rPr>
      <w:rFonts w:eastAsia="Times New Roman" w:cstheme="minorBidi"/>
      <w:sz w:val="26"/>
      <w:szCs w:val="26"/>
      <w:lang w:val="en-US"/>
    </w:rPr>
  </w:style>
  <w:style w:type="table" w:styleId="afb">
    <w:name w:val="Table Grid"/>
    <w:basedOn w:val="a1"/>
    <w:uiPriority w:val="39"/>
    <w:rsid w:val="00CA492B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7354E4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улеты1"/>
    <w:basedOn w:val="a"/>
    <w:uiPriority w:val="99"/>
    <w:rsid w:val="003A2E04"/>
    <w:pPr>
      <w:tabs>
        <w:tab w:val="left" w:pos="2977"/>
      </w:tabs>
      <w:spacing w:after="200" w:line="276" w:lineRule="auto"/>
      <w:ind w:firstLine="0"/>
      <w:contextualSpacing/>
    </w:pPr>
    <w:rPr>
      <w:rFonts w:eastAsia="Times New Roman" w:cs="Times New Roman"/>
      <w:sz w:val="22"/>
      <w:lang w:eastAsia="ru-RU"/>
    </w:rPr>
  </w:style>
  <w:style w:type="paragraph" w:customStyle="1" w:styleId="formattext">
    <w:name w:val="formattext"/>
    <w:basedOn w:val="a"/>
    <w:rsid w:val="00C6221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11"/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BC9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4C0C"/>
    <w:pPr>
      <w:keepNext/>
      <w:keepLines/>
      <w:numPr>
        <w:ilvl w:val="1"/>
        <w:numId w:val="2"/>
      </w:numPr>
      <w:spacing w:before="28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rsid w:val="00B93059"/>
    <w:pPr>
      <w:keepNext/>
      <w:numPr>
        <w:ilvl w:val="2"/>
        <w:numId w:val="2"/>
      </w:numPr>
      <w:spacing w:before="280" w:after="2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FC2BC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BC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BC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BC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BC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BC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BC9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A4C0C"/>
    <w:rPr>
      <w:rFonts w:eastAsiaTheme="majorEastAsia" w:cstheme="majorBidi"/>
      <w:b/>
      <w:sz w:val="28"/>
      <w:szCs w:val="26"/>
    </w:rPr>
  </w:style>
  <w:style w:type="paragraph" w:styleId="a3">
    <w:name w:val="Title"/>
    <w:basedOn w:val="3"/>
    <w:next w:val="a"/>
    <w:link w:val="a4"/>
    <w:autoRedefine/>
    <w:uiPriority w:val="10"/>
    <w:qFormat/>
    <w:rsid w:val="009A4C0C"/>
    <w:pPr>
      <w:spacing w:before="240"/>
      <w:contextualSpacing/>
    </w:pPr>
    <w:rPr>
      <w:b w:val="0"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BA7357"/>
    <w:rPr>
      <w:rFonts w:eastAsiaTheme="majorEastAsia" w:cstheme="majorBidi"/>
      <w:spacing w:val="-10"/>
      <w:kern w:val="28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36ACB"/>
    <w:pPr>
      <w:numPr>
        <w:ilvl w:val="1"/>
      </w:numPr>
      <w:spacing w:after="160"/>
      <w:ind w:firstLine="709"/>
    </w:pPr>
    <w:rPr>
      <w:rFonts w:eastAsiaTheme="minorEastAsia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36ACB"/>
    <w:rPr>
      <w:rFonts w:eastAsiaTheme="minorEastAsia" w:cstheme="minorBidi"/>
      <w:spacing w:val="15"/>
      <w:szCs w:val="22"/>
    </w:rPr>
  </w:style>
  <w:style w:type="paragraph" w:styleId="a7">
    <w:name w:val="List Paragraph"/>
    <w:basedOn w:val="a"/>
    <w:uiPriority w:val="34"/>
    <w:qFormat/>
    <w:rsid w:val="003B5D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3059"/>
    <w:rPr>
      <w:rFonts w:eastAsiaTheme="majorEastAsia" w:cstheme="majorBidi"/>
      <w:b/>
    </w:rPr>
  </w:style>
  <w:style w:type="character" w:customStyle="1" w:styleId="40">
    <w:name w:val="Заголовок 4 Знак"/>
    <w:basedOn w:val="a0"/>
    <w:link w:val="4"/>
    <w:uiPriority w:val="9"/>
    <w:rsid w:val="00FC2BCF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C2BCF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C2BCF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C2BCF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C2B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C2B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8">
    <w:name w:val="Hyperlink"/>
    <w:basedOn w:val="a0"/>
    <w:uiPriority w:val="99"/>
    <w:unhideWhenUsed/>
    <w:rsid w:val="003932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24A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39324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324A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324A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65205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77C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77C4"/>
    <w:rPr>
      <w:rFonts w:ascii="Arial" w:hAnsi="Arial" w:cs="Arial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19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1951"/>
    <w:pPr>
      <w:spacing w:after="16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1951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D65"/>
    <w:pPr>
      <w:spacing w:after="120"/>
      <w:ind w:firstLine="709"/>
      <w:jc w:val="both"/>
    </w:pPr>
    <w:rPr>
      <w:rFonts w:ascii="Times New Roman" w:hAnsi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D65"/>
    <w:rPr>
      <w:rFonts w:asciiTheme="minorHAnsi" w:hAnsiTheme="minorHAnsi" w:cstheme="minorBidi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D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D051C"/>
    <w:rPr>
      <w:rFonts w:cstheme="minorBidi"/>
      <w:szCs w:val="22"/>
    </w:rPr>
  </w:style>
  <w:style w:type="paragraph" w:styleId="af6">
    <w:name w:val="footer"/>
    <w:basedOn w:val="a"/>
    <w:link w:val="af7"/>
    <w:unhideWhenUsed/>
    <w:rsid w:val="009D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9D051C"/>
    <w:rPr>
      <w:rFonts w:cstheme="minorBidi"/>
      <w:szCs w:val="22"/>
    </w:rPr>
  </w:style>
  <w:style w:type="paragraph" w:styleId="af8">
    <w:name w:val="caption"/>
    <w:basedOn w:val="a"/>
    <w:next w:val="a"/>
    <w:uiPriority w:val="35"/>
    <w:unhideWhenUsed/>
    <w:qFormat/>
    <w:rsid w:val="002D7E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9">
    <w:name w:val="Body Text"/>
    <w:basedOn w:val="a"/>
    <w:link w:val="afa"/>
    <w:uiPriority w:val="1"/>
    <w:qFormat/>
    <w:rsid w:val="00CA492B"/>
    <w:pPr>
      <w:widowControl w:val="0"/>
      <w:spacing w:before="1" w:after="0" w:line="240" w:lineRule="auto"/>
      <w:ind w:left="112" w:firstLine="708"/>
      <w:jc w:val="left"/>
    </w:pPr>
    <w:rPr>
      <w:rFonts w:eastAsia="Times New Roman"/>
      <w:sz w:val="26"/>
      <w:szCs w:val="26"/>
      <w:lang w:val="en-US"/>
    </w:rPr>
  </w:style>
  <w:style w:type="character" w:customStyle="1" w:styleId="afa">
    <w:name w:val="Основной текст Знак"/>
    <w:basedOn w:val="a0"/>
    <w:link w:val="af9"/>
    <w:uiPriority w:val="1"/>
    <w:rsid w:val="00CA492B"/>
    <w:rPr>
      <w:rFonts w:eastAsia="Times New Roman" w:cstheme="minorBidi"/>
      <w:sz w:val="26"/>
      <w:szCs w:val="26"/>
      <w:lang w:val="en-US"/>
    </w:rPr>
  </w:style>
  <w:style w:type="table" w:styleId="afb">
    <w:name w:val="Table Grid"/>
    <w:basedOn w:val="a1"/>
    <w:uiPriority w:val="39"/>
    <w:rsid w:val="00CA492B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7354E4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улеты1"/>
    <w:basedOn w:val="a"/>
    <w:uiPriority w:val="99"/>
    <w:rsid w:val="003A2E04"/>
    <w:pPr>
      <w:tabs>
        <w:tab w:val="left" w:pos="2977"/>
      </w:tabs>
      <w:spacing w:after="200" w:line="276" w:lineRule="auto"/>
      <w:ind w:firstLine="0"/>
      <w:contextualSpacing/>
    </w:pPr>
    <w:rPr>
      <w:rFonts w:eastAsia="Times New Roman" w:cs="Times New Roman"/>
      <w:sz w:val="22"/>
      <w:lang w:eastAsia="ru-RU"/>
    </w:rPr>
  </w:style>
  <w:style w:type="paragraph" w:customStyle="1" w:styleId="formattext">
    <w:name w:val="formattext"/>
    <w:basedOn w:val="a"/>
    <w:rsid w:val="00C6221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AC50-35EC-4320-8FF4-0F412DD9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24</Pages>
  <Words>9083</Words>
  <Characters>51778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Осолодченко</dc:creator>
  <cp:lastModifiedBy>Меденова Айнагуль Хамидоллаевна</cp:lastModifiedBy>
  <cp:revision>42</cp:revision>
  <cp:lastPrinted>2020-04-21T21:56:00Z</cp:lastPrinted>
  <dcterms:created xsi:type="dcterms:W3CDTF">2020-04-15T05:48:00Z</dcterms:created>
  <dcterms:modified xsi:type="dcterms:W3CDTF">2020-04-21T21:56:00Z</dcterms:modified>
</cp:coreProperties>
</file>