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Look w:val="01E0" w:firstRow="1" w:lastRow="1" w:firstColumn="1" w:lastColumn="1" w:noHBand="0" w:noVBand="0"/>
      </w:tblPr>
      <w:tblGrid>
        <w:gridCol w:w="10173"/>
        <w:gridCol w:w="5528"/>
      </w:tblGrid>
      <w:tr w:rsidR="0007345F" w:rsidRPr="0007345F" w:rsidTr="00E3005A">
        <w:trPr>
          <w:trHeight w:val="1605"/>
        </w:trPr>
        <w:tc>
          <w:tcPr>
            <w:tcW w:w="10173" w:type="dxa"/>
          </w:tcPr>
          <w:p w:rsidR="0007345F" w:rsidRPr="0007345F" w:rsidRDefault="0007345F" w:rsidP="000734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</w:r>
            <w:r w:rsidRPr="0007345F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5528" w:type="dxa"/>
          </w:tcPr>
          <w:p w:rsidR="0007345F" w:rsidRPr="0007345F" w:rsidRDefault="0007345F" w:rsidP="00073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2</w:t>
            </w:r>
          </w:p>
          <w:p w:rsidR="0007345F" w:rsidRPr="0007345F" w:rsidRDefault="0007345F" w:rsidP="00073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приказу Комитета по культуре, спорту и туризму Чукотского автономного округа </w:t>
            </w:r>
          </w:p>
          <w:p w:rsidR="0007345F" w:rsidRPr="0007345F" w:rsidRDefault="0007345F" w:rsidP="00073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 30.12.2019 г. № 01-10/281</w:t>
            </w:r>
          </w:p>
        </w:tc>
      </w:tr>
    </w:tbl>
    <w:p w:rsidR="0007345F" w:rsidRPr="0007345F" w:rsidRDefault="0007345F" w:rsidP="00073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345F" w:rsidRPr="0007345F" w:rsidRDefault="0007345F" w:rsidP="000734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  <w:r w:rsidRPr="00073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ключевого показателя результативности регионального государственного контроля (надзора) </w:t>
      </w:r>
    </w:p>
    <w:p w:rsidR="0007345F" w:rsidRPr="0007345F" w:rsidRDefault="0007345F" w:rsidP="00073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</w:t>
      </w:r>
      <w:r w:rsidRPr="0007345F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073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музейных предметов и музейных коллекций, включенных в состав Музейного фонда Российской Федерации</w:t>
      </w:r>
    </w:p>
    <w:p w:rsidR="0007345F" w:rsidRPr="0007345F" w:rsidRDefault="0007345F" w:rsidP="00073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79"/>
        <w:gridCol w:w="337"/>
        <w:gridCol w:w="2295"/>
        <w:gridCol w:w="328"/>
        <w:gridCol w:w="2446"/>
        <w:gridCol w:w="334"/>
        <w:gridCol w:w="2277"/>
        <w:gridCol w:w="334"/>
        <w:gridCol w:w="1363"/>
        <w:gridCol w:w="334"/>
        <w:gridCol w:w="2106"/>
        <w:gridCol w:w="18"/>
        <w:gridCol w:w="35"/>
      </w:tblGrid>
      <w:tr w:rsidR="0007345F" w:rsidRPr="0007345F" w:rsidTr="00E3005A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Комитет по культуре, спорту и туризму Чукотского автономного округа</w:t>
            </w:r>
          </w:p>
        </w:tc>
      </w:tr>
      <w:tr w:rsidR="0007345F" w:rsidRPr="0007345F" w:rsidTr="00E3005A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</w:rPr>
            </w:pPr>
            <w:bookmarkStart w:id="0" w:name="sub_30100"/>
            <w:r w:rsidRPr="0007345F">
              <w:rPr>
                <w:rFonts w:ascii="Times New Roman" w:eastAsia="Calibri" w:hAnsi="Times New Roman" w:cs="Times New Roman"/>
                <w:b/>
                <w:bCs/>
                <w:color w:val="26282F"/>
              </w:rPr>
              <w:t>I. Общая информация по показателю</w:t>
            </w:r>
            <w:bookmarkEnd w:id="0"/>
          </w:p>
        </w:tc>
      </w:tr>
      <w:tr w:rsidR="0007345F" w:rsidRPr="0007345F" w:rsidTr="00E3005A">
        <w:tc>
          <w:tcPr>
            <w:tcW w:w="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Номер (индекс) показателя</w:t>
            </w:r>
            <w:r w:rsidRPr="0007345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hyperlink w:anchor="sub_1111" w:history="1">
              <w:r w:rsidRPr="0007345F">
                <w:rPr>
                  <w:rFonts w:ascii="Times New Roman" w:eastAsia="Calibri" w:hAnsi="Times New Roman" w:cs="Times New Roman"/>
                  <w:color w:val="106BBE"/>
                  <w:vertAlign w:val="superscript"/>
                </w:rPr>
                <w:t>1</w:t>
              </w:r>
            </w:hyperlink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Наименование цели</w:t>
            </w:r>
            <w:r w:rsidRPr="0007345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hyperlink w:anchor="sub_2222" w:history="1">
              <w:r w:rsidRPr="0007345F">
                <w:rPr>
                  <w:rFonts w:ascii="Times New Roman" w:eastAsia="Calibri" w:hAnsi="Times New Roman" w:cs="Times New Roman"/>
                  <w:color w:val="106BBE"/>
                  <w:vertAlign w:val="superscript"/>
                </w:rPr>
                <w:t>2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Наименование задач</w:t>
            </w:r>
            <w:r w:rsidRPr="0007345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hyperlink w:anchor="sub_3333" w:history="1">
              <w:r w:rsidRPr="0007345F">
                <w:rPr>
                  <w:rFonts w:ascii="Times New Roman" w:eastAsia="Calibri" w:hAnsi="Times New Roman" w:cs="Times New Roman"/>
                  <w:color w:val="106BBE"/>
                  <w:vertAlign w:val="superscript"/>
                </w:rPr>
                <w:t>3</w:t>
              </w:r>
            </w:hyperlink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Наименование показателя</w:t>
            </w:r>
            <w:r w:rsidRPr="0007345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hyperlink w:anchor="sub_4444" w:history="1">
              <w:r w:rsidRPr="0007345F">
                <w:rPr>
                  <w:rFonts w:ascii="Times New Roman" w:eastAsia="Calibri" w:hAnsi="Times New Roman" w:cs="Times New Roman"/>
                  <w:color w:val="106BBE"/>
                  <w:vertAlign w:val="superscript"/>
                </w:rPr>
                <w:t>4</w:t>
              </w:r>
            </w:hyperlink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Базовое значение</w:t>
            </w:r>
            <w:r w:rsidRPr="0007345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hyperlink w:anchor="sub_5555" w:history="1">
              <w:r w:rsidRPr="0007345F">
                <w:rPr>
                  <w:rFonts w:ascii="Times New Roman" w:eastAsia="Calibri" w:hAnsi="Times New Roman" w:cs="Times New Roman"/>
                  <w:color w:val="106BBE"/>
                  <w:vertAlign w:val="superscript"/>
                </w:rPr>
                <w:t>5</w:t>
              </w:r>
            </w:hyperlink>
          </w:p>
        </w:tc>
        <w:tc>
          <w:tcPr>
            <w:tcW w:w="8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Международное сопоставление показателя</w:t>
            </w:r>
            <w:r w:rsidRPr="0007345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hyperlink w:anchor="sub_6666" w:history="1">
              <w:r w:rsidRPr="0007345F">
                <w:rPr>
                  <w:rFonts w:ascii="Times New Roman" w:eastAsia="Calibri" w:hAnsi="Times New Roman" w:cs="Times New Roman"/>
                  <w:color w:val="106BBE"/>
                  <w:vertAlign w:val="superscript"/>
                </w:rPr>
                <w:t>6</w:t>
              </w:r>
            </w:hyperlink>
          </w:p>
        </w:tc>
      </w:tr>
      <w:tr w:rsidR="0007345F" w:rsidRPr="0007345F" w:rsidTr="00E3005A">
        <w:tc>
          <w:tcPr>
            <w:tcW w:w="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А3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Обеспечение безопасности охраняемых законом ценностей, выражающейся в минимизации причинения вреда музейным предметам и музейным коллекциям, включенным в состав Музейного фонда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 xml:space="preserve">Повышение уровня безопасности </w:t>
            </w:r>
          </w:p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1.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      </w:r>
          </w:p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2. Устранение причин, факторов и условий, способствующих возможному нарушению обязательных требований.</w:t>
            </w:r>
          </w:p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 xml:space="preserve">3. Оценка состояния </w:t>
            </w:r>
            <w:r w:rsidRPr="0007345F">
              <w:rPr>
                <w:rFonts w:ascii="Times New Roman" w:eastAsia="Calibri" w:hAnsi="Times New Roman" w:cs="Times New Roman"/>
              </w:rPr>
              <w:lastRenderedPageBreak/>
              <w:t>музейной сферы и особенностей подконтрольных субъектов, установление зависимости видов, форм и интенсивности профилактических мероприятий от особенностей конкретных подконтрольных субъектов, проведение профилактических мероприятий с учетом данных факторов.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lastRenderedPageBreak/>
              <w:t>Доля нарушений обязательных требований, повлекших причинение вреда музейным предметам  и музейным коллекциям, из числа нарушений, выявленных в рамках государственного контроля в отношении музейных предметов и музейных коллекций, включенных в состав Музейного фонда Российской Федерации, %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Не используются</w:t>
            </w:r>
          </w:p>
        </w:tc>
      </w:tr>
      <w:tr w:rsidR="0007345F" w:rsidRPr="0007345F" w:rsidTr="00E3005A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lastRenderedPageBreak/>
              <w:t>Формула расчета показателя</w:t>
            </w:r>
            <w:r w:rsidRPr="0007345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hyperlink w:anchor="sub_7777" w:history="1">
              <w:r w:rsidRPr="0007345F">
                <w:rPr>
                  <w:rFonts w:ascii="Times New Roman" w:eastAsia="Calibri" w:hAnsi="Times New Roman" w:cs="Times New Roman"/>
                  <w:color w:val="106BBE"/>
                  <w:vertAlign w:val="superscript"/>
                </w:rPr>
                <w:t>7</w:t>
              </w:r>
            </w:hyperlink>
          </w:p>
        </w:tc>
      </w:tr>
      <w:tr w:rsidR="0007345F" w:rsidRPr="0007345F" w:rsidTr="00E3005A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К¹ =К²*100%/К³</w:t>
            </w:r>
          </w:p>
        </w:tc>
      </w:tr>
      <w:tr w:rsidR="0007345F" w:rsidRPr="0007345F" w:rsidTr="00E3005A">
        <w:tc>
          <w:tcPr>
            <w:tcW w:w="27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Расшифровка (данных) переменных</w:t>
            </w:r>
            <w:r w:rsidRPr="0007345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hyperlink w:anchor="sub_8888" w:history="1">
              <w:r w:rsidRPr="0007345F">
                <w:rPr>
                  <w:rFonts w:ascii="Times New Roman" w:eastAsia="Calibri" w:hAnsi="Times New Roman" w:cs="Times New Roman"/>
                  <w:color w:val="106BBE"/>
                  <w:vertAlign w:val="superscript"/>
                </w:rPr>
                <w:t>8</w:t>
              </w:r>
            </w:hyperlink>
          </w:p>
        </w:tc>
        <w:tc>
          <w:tcPr>
            <w:tcW w:w="23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</w:t>
            </w:r>
            <w:r w:rsidRPr="0007345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hyperlink w:anchor="sub_9999" w:history="1">
              <w:r w:rsidRPr="0007345F">
                <w:rPr>
                  <w:rFonts w:ascii="Times New Roman" w:eastAsia="Calibri" w:hAnsi="Times New Roman" w:cs="Times New Roman"/>
                  <w:color w:val="106BBE"/>
                  <w:vertAlign w:val="superscript"/>
                </w:rPr>
                <w:t>9</w:t>
              </w:r>
            </w:hyperlink>
          </w:p>
        </w:tc>
      </w:tr>
      <w:tr w:rsidR="0007345F" w:rsidRPr="0007345F" w:rsidTr="00E3005A">
        <w:tc>
          <w:tcPr>
            <w:tcW w:w="27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45F">
              <w:rPr>
                <w:rFonts w:ascii="Times New Roman" w:eastAsia="Times New Roman" w:hAnsi="Times New Roman" w:cs="Times New Roman"/>
                <w:lang w:eastAsia="ru-RU"/>
              </w:rPr>
              <w:t>К¹ - доля нарушений обязательных требований, повлекших причинение вреда музейным предметам  и музейным коллекциям, из числа нарушений, выявленных в рамках государственного контроля в отношении музейных предметов и музейных коллекций, включенных в состав Музейного фонда Российской Федерации</w:t>
            </w:r>
          </w:p>
          <w:p w:rsidR="0007345F" w:rsidRPr="0007345F" w:rsidRDefault="0007345F" w:rsidP="00073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45F">
              <w:rPr>
                <w:rFonts w:ascii="Times New Roman" w:eastAsia="Times New Roman" w:hAnsi="Times New Roman" w:cs="Times New Roman"/>
                <w:lang w:eastAsia="ru-RU"/>
              </w:rPr>
              <w:t>К² - количество нарушений обязательных требований, повлекших причинение вреда музейным предметам  и музейным коллекциям,</w:t>
            </w:r>
          </w:p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Times New Roman" w:hAnsi="Times New Roman" w:cs="Times New Roman"/>
                <w:lang w:eastAsia="ru-RU"/>
              </w:rPr>
              <w:t>К³ - общее количество нарушений обязательных требований</w:t>
            </w:r>
          </w:p>
        </w:tc>
        <w:tc>
          <w:tcPr>
            <w:tcW w:w="23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 xml:space="preserve">материалы проверок, статистические отчеты по формам 8-НК, 4-Э, выписки из АМС КАМИС проверяемых музеев, ФГИС </w:t>
            </w:r>
            <w:proofErr w:type="spellStart"/>
            <w:r w:rsidRPr="0007345F">
              <w:rPr>
                <w:rFonts w:ascii="Times New Roman" w:eastAsia="Calibri" w:hAnsi="Times New Roman" w:cs="Times New Roman"/>
              </w:rPr>
              <w:t>Госкаталог</w:t>
            </w:r>
            <w:proofErr w:type="spellEnd"/>
            <w:r w:rsidRPr="0007345F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7345F" w:rsidRPr="0007345F" w:rsidTr="00E3005A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1" w:name="sub_30200"/>
            <w:r w:rsidRPr="0007345F">
              <w:rPr>
                <w:rFonts w:ascii="Times New Roman" w:eastAsia="Calibri" w:hAnsi="Times New Roman" w:cs="Times New Roman"/>
                <w:b/>
                <w:bCs/>
                <w:color w:val="26282F"/>
              </w:rPr>
              <w:t>II. Методика расчета переменных, используемых для расчета показателя</w:t>
            </w:r>
            <w:r w:rsidRPr="0007345F">
              <w:rPr>
                <w:rFonts w:ascii="Times New Roman" w:eastAsia="Calibri" w:hAnsi="Times New Roman" w:cs="Times New Roman"/>
                <w:b/>
                <w:bCs/>
                <w:color w:val="26282F"/>
                <w:vertAlign w:val="superscript"/>
              </w:rPr>
              <w:t> </w:t>
            </w:r>
            <w:hyperlink w:anchor="sub_1010" w:history="1">
              <w:r w:rsidRPr="0007345F">
                <w:rPr>
                  <w:rFonts w:ascii="Times New Roman" w:eastAsia="Calibri" w:hAnsi="Times New Roman" w:cs="Times New Roman"/>
                  <w:color w:val="106BBE"/>
                  <w:vertAlign w:val="superscript"/>
                </w:rPr>
                <w:t>10</w:t>
              </w:r>
            </w:hyperlink>
            <w:bookmarkEnd w:id="1"/>
          </w:p>
        </w:tc>
      </w:tr>
      <w:tr w:rsidR="0007345F" w:rsidRPr="0007345F" w:rsidTr="00E3005A">
        <w:trPr>
          <w:gridAfter w:val="1"/>
          <w:wAfter w:w="12" w:type="pct"/>
        </w:trPr>
        <w:tc>
          <w:tcPr>
            <w:tcW w:w="87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Наименование документа, содержащего методику расчета переменных, используемых для расчета показателя</w:t>
            </w:r>
          </w:p>
        </w:tc>
        <w:tc>
          <w:tcPr>
            <w:tcW w:w="4116" w:type="pct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Приказ Комитета по культуре, спорту и туризму Чукотского автономного округа от 30.12.2019 г. № 01-10/281 «Об утверждении Перечня показателей результативности и эффективности регионального государственного контроля в отношении музейных предметов и музейных коллекций, включенных в состав Музейного фонда Российской Федерации и паспорта ключевого показателя»</w:t>
            </w:r>
          </w:p>
        </w:tc>
      </w:tr>
      <w:tr w:rsidR="0007345F" w:rsidRPr="0007345F" w:rsidTr="00E3005A">
        <w:trPr>
          <w:gridAfter w:val="1"/>
          <w:wAfter w:w="12" w:type="pct"/>
        </w:trPr>
        <w:tc>
          <w:tcPr>
            <w:tcW w:w="4988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</w:rPr>
            </w:pPr>
            <w:bookmarkStart w:id="2" w:name="sub_30300"/>
            <w:r w:rsidRPr="0007345F">
              <w:rPr>
                <w:rFonts w:ascii="Times New Roman" w:eastAsia="Calibri" w:hAnsi="Times New Roman" w:cs="Times New Roman"/>
                <w:b/>
                <w:bCs/>
                <w:color w:val="26282F"/>
              </w:rPr>
              <w:lastRenderedPageBreak/>
              <w:t>III. Состояние показателя</w:t>
            </w:r>
            <w:bookmarkEnd w:id="2"/>
          </w:p>
        </w:tc>
      </w:tr>
      <w:tr w:rsidR="0007345F" w:rsidRPr="0007345F" w:rsidTr="00E3005A">
        <w:trPr>
          <w:gridAfter w:val="1"/>
          <w:wAfter w:w="12" w:type="pct"/>
        </w:trPr>
        <w:tc>
          <w:tcPr>
            <w:tcW w:w="4988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Описание основных обстоятельств, характеризующих базовое значение показателя</w:t>
            </w:r>
            <w:r w:rsidRPr="0007345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hyperlink w:anchor="sub_11111" w:history="1">
              <w:r w:rsidRPr="0007345F">
                <w:rPr>
                  <w:rFonts w:ascii="Times New Roman" w:eastAsia="Calibri" w:hAnsi="Times New Roman" w:cs="Times New Roman"/>
                  <w:color w:val="106BBE"/>
                  <w:vertAlign w:val="superscript"/>
                </w:rPr>
                <w:t>11</w:t>
              </w:r>
            </w:hyperlink>
          </w:p>
        </w:tc>
      </w:tr>
      <w:tr w:rsidR="0007345F" w:rsidRPr="0007345F" w:rsidTr="00E3005A">
        <w:trPr>
          <w:gridAfter w:val="1"/>
          <w:wAfter w:w="12" w:type="pct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Базовое значение показателя</w:t>
            </w:r>
          </w:p>
        </w:tc>
        <w:tc>
          <w:tcPr>
            <w:tcW w:w="41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Значение показателя характеризует уровень нарушений обязательных требований, выявленных в рамках государственного контроля в отношении музейных предметов и музейных коллекций, включенных в состав Музейного фонда Российской Федерации. В течение последних 3 лет случаев причинения вреда музейным предметам и музейным коллекциям не выявлено. Базовое значение показателя за 2017-2019 годы – «0».</w:t>
            </w:r>
          </w:p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Обеспечение данного результата способствует повышению эффективности контроля в отношении музейных предметов и музейных коллекций, включенных в состав Музейного фонда Российской Федерации за счет соблюдения подконтрольными субъектами обязательных требований в отношении музейных предметах и музейных коллекциях, включенных в состав Музейного фонда Российской Федерации, а также за счет комплекса профилактических мер в рамках ежегодных программ профилактики нарушений обязательных требований.</w:t>
            </w:r>
          </w:p>
        </w:tc>
      </w:tr>
      <w:tr w:rsidR="0007345F" w:rsidRPr="0007345F" w:rsidTr="00E3005A">
        <w:trPr>
          <w:gridAfter w:val="1"/>
          <w:wAfter w:w="12" w:type="pct"/>
        </w:trPr>
        <w:tc>
          <w:tcPr>
            <w:tcW w:w="4988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Описание стратегической цели показателя</w:t>
            </w:r>
            <w:r w:rsidRPr="0007345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hyperlink w:anchor="sub_1212" w:history="1">
              <w:r w:rsidRPr="0007345F">
                <w:rPr>
                  <w:rFonts w:ascii="Times New Roman" w:eastAsia="Calibri" w:hAnsi="Times New Roman" w:cs="Times New Roman"/>
                  <w:color w:val="106BBE"/>
                  <w:vertAlign w:val="superscript"/>
                </w:rPr>
                <w:t>12</w:t>
              </w:r>
            </w:hyperlink>
          </w:p>
        </w:tc>
      </w:tr>
      <w:tr w:rsidR="0007345F" w:rsidRPr="0007345F" w:rsidTr="00E3005A">
        <w:trPr>
          <w:gridAfter w:val="1"/>
          <w:wAfter w:w="12" w:type="pct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Наименование цели и ее описание</w:t>
            </w:r>
          </w:p>
        </w:tc>
        <w:tc>
          <w:tcPr>
            <w:tcW w:w="41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Предупреждение и выявление нарушений в отношении музейных предметов и музейных коллекций, включенных в состав Музейного фонда Российской Федерации.</w:t>
            </w:r>
          </w:p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Обеспечение безопасности охраняемых законом ценностей, выражающейся в минимизации причинения вреда музейным предметам и музейным коллекциям, включенным в состав Музейного фонда Российской Федерации.</w:t>
            </w:r>
          </w:p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Уменьшение доли музеев, в которых нарушены обязательные требования, повлекшие причинение вреда музейным предметам  и музейным коллекциям, из числа нарушений, выявленных в рамках государственного контроля в отношении музейных предметов и музейных коллекций, включенных в состав Музейного фонда Российской Федерации, %.</w:t>
            </w:r>
          </w:p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Проведение профилактических мероприятий с целью контроля за состоянием государственной части Музейного фонда Российской Федерации.</w:t>
            </w:r>
          </w:p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Проведение консультаций для подконтрольных субъектов по разъяснению обязательных требований законодательства в форме личных приемов подконтрольных субъектов, телефонных звонков, консультативных писем и др.</w:t>
            </w:r>
          </w:p>
        </w:tc>
      </w:tr>
      <w:tr w:rsidR="0007345F" w:rsidRPr="0007345F" w:rsidTr="00E3005A">
        <w:trPr>
          <w:gridAfter w:val="1"/>
          <w:wAfter w:w="12" w:type="pct"/>
        </w:trPr>
        <w:tc>
          <w:tcPr>
            <w:tcW w:w="4988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Целевые значения показателя по годам</w:t>
            </w:r>
            <w:r w:rsidRPr="0007345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hyperlink w:anchor="sub_1313" w:history="1">
              <w:r w:rsidRPr="0007345F">
                <w:rPr>
                  <w:rFonts w:ascii="Times New Roman" w:eastAsia="Calibri" w:hAnsi="Times New Roman" w:cs="Times New Roman"/>
                  <w:color w:val="106BBE"/>
                  <w:vertAlign w:val="superscript"/>
                </w:rPr>
                <w:t>13</w:t>
              </w:r>
            </w:hyperlink>
          </w:p>
        </w:tc>
      </w:tr>
      <w:tr w:rsidR="0007345F" w:rsidRPr="0007345F" w:rsidTr="00E3005A">
        <w:trPr>
          <w:gridAfter w:val="1"/>
          <w:wAfter w:w="12" w:type="pct"/>
        </w:trPr>
        <w:tc>
          <w:tcPr>
            <w:tcW w:w="4988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7345F" w:rsidRPr="0007345F" w:rsidTr="00E3005A">
        <w:trPr>
          <w:gridAfter w:val="1"/>
          <w:wAfter w:w="12" w:type="pct"/>
        </w:trPr>
        <w:tc>
          <w:tcPr>
            <w:tcW w:w="87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Годы и базовое значение показателя, %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2024</w:t>
            </w:r>
          </w:p>
        </w:tc>
      </w:tr>
      <w:tr w:rsidR="0007345F" w:rsidRPr="0007345F" w:rsidTr="00E3005A">
        <w:trPr>
          <w:gridAfter w:val="1"/>
          <w:wAfter w:w="12" w:type="pct"/>
        </w:trPr>
        <w:tc>
          <w:tcPr>
            <w:tcW w:w="8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7345F" w:rsidRPr="0007345F" w:rsidTr="00E3005A">
        <w:trPr>
          <w:gridAfter w:val="1"/>
          <w:wAfter w:w="12" w:type="pct"/>
        </w:trPr>
        <w:tc>
          <w:tcPr>
            <w:tcW w:w="4988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Описание задач по достижению целевых значений показателя</w:t>
            </w:r>
            <w:r w:rsidRPr="0007345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hyperlink w:anchor="sub_1414" w:history="1">
              <w:r w:rsidRPr="0007345F">
                <w:rPr>
                  <w:rFonts w:ascii="Times New Roman" w:eastAsia="Calibri" w:hAnsi="Times New Roman" w:cs="Times New Roman"/>
                  <w:color w:val="106BBE"/>
                  <w:vertAlign w:val="superscript"/>
                </w:rPr>
                <w:t>14</w:t>
              </w:r>
            </w:hyperlink>
          </w:p>
        </w:tc>
      </w:tr>
      <w:tr w:rsidR="0007345F" w:rsidRPr="0007345F" w:rsidTr="00E3005A">
        <w:trPr>
          <w:gridAfter w:val="1"/>
          <w:wAfter w:w="12" w:type="pct"/>
        </w:trPr>
        <w:tc>
          <w:tcPr>
            <w:tcW w:w="4988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1.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      </w:r>
          </w:p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2. Устранение причин, факторов и условий, способствующих возможному нарушению обязательных требований.</w:t>
            </w:r>
          </w:p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3. Оценка состояния музейной сферы и особенностей подконтрольных субъектов, установление зависимости видов, форм и интенсивности профилактических мероприятий от особенностей конкретных подконтрольных субъектов, проведение профилактических мероприятий с учетом данных факторов.</w:t>
            </w:r>
          </w:p>
        </w:tc>
      </w:tr>
      <w:tr w:rsidR="0007345F" w:rsidRPr="0007345F" w:rsidTr="00E3005A">
        <w:trPr>
          <w:gridAfter w:val="1"/>
          <w:wAfter w:w="12" w:type="pct"/>
        </w:trPr>
        <w:tc>
          <w:tcPr>
            <w:tcW w:w="4988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 xml:space="preserve">Описание рисков </w:t>
            </w:r>
            <w:proofErr w:type="spellStart"/>
            <w:r w:rsidRPr="0007345F">
              <w:rPr>
                <w:rFonts w:ascii="Times New Roman" w:eastAsia="Calibri" w:hAnsi="Times New Roman" w:cs="Times New Roman"/>
              </w:rPr>
              <w:t>недостижения</w:t>
            </w:r>
            <w:proofErr w:type="spellEnd"/>
            <w:r w:rsidRPr="0007345F">
              <w:rPr>
                <w:rFonts w:ascii="Times New Roman" w:eastAsia="Calibri" w:hAnsi="Times New Roman" w:cs="Times New Roman"/>
              </w:rPr>
              <w:t xml:space="preserve"> целевых значений показателя</w:t>
            </w:r>
            <w:r w:rsidRPr="0007345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hyperlink w:anchor="sub_1515" w:history="1">
              <w:r w:rsidRPr="0007345F">
                <w:rPr>
                  <w:rFonts w:ascii="Times New Roman" w:eastAsia="Calibri" w:hAnsi="Times New Roman" w:cs="Times New Roman"/>
                  <w:color w:val="106BBE"/>
                  <w:vertAlign w:val="superscript"/>
                </w:rPr>
                <w:t>15</w:t>
              </w:r>
            </w:hyperlink>
          </w:p>
        </w:tc>
      </w:tr>
      <w:tr w:rsidR="0007345F" w:rsidRPr="0007345F" w:rsidTr="00E3005A">
        <w:trPr>
          <w:gridAfter w:val="1"/>
          <w:wAfter w:w="12" w:type="pct"/>
        </w:trPr>
        <w:tc>
          <w:tcPr>
            <w:tcW w:w="4988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Влияние природно-климатических факторов;</w:t>
            </w:r>
          </w:p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lastRenderedPageBreak/>
              <w:t>Влияние социально-экономических факторов;</w:t>
            </w:r>
          </w:p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Влияние форс-мажорных обстоятельств.</w:t>
            </w:r>
          </w:p>
        </w:tc>
      </w:tr>
      <w:tr w:rsidR="0007345F" w:rsidRPr="0007345F" w:rsidTr="00E3005A">
        <w:trPr>
          <w:gridAfter w:val="1"/>
          <w:wAfter w:w="12" w:type="pct"/>
        </w:trPr>
        <w:tc>
          <w:tcPr>
            <w:tcW w:w="4988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26282F"/>
              </w:rPr>
            </w:pPr>
            <w:bookmarkStart w:id="3" w:name="sub_30400"/>
            <w:r w:rsidRPr="0007345F">
              <w:rPr>
                <w:rFonts w:ascii="Times New Roman" w:eastAsia="Calibri" w:hAnsi="Times New Roman" w:cs="Times New Roman"/>
                <w:b/>
                <w:bCs/>
                <w:color w:val="26282F"/>
              </w:rPr>
              <w:lastRenderedPageBreak/>
              <w:t>IV. Методика сбора и управления данными</w:t>
            </w:r>
            <w:bookmarkEnd w:id="3"/>
          </w:p>
        </w:tc>
      </w:tr>
      <w:tr w:rsidR="0007345F" w:rsidRPr="0007345F" w:rsidTr="00E3005A">
        <w:trPr>
          <w:gridAfter w:val="1"/>
          <w:wAfter w:w="12" w:type="pct"/>
        </w:trPr>
        <w:tc>
          <w:tcPr>
            <w:tcW w:w="4988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Методы сбора и управления статистическими и иными данными, необходимыми для расчета показателя, включая механизмы</w:t>
            </w:r>
          </w:p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и сроки их совершенствования/опубликования</w:t>
            </w:r>
          </w:p>
        </w:tc>
      </w:tr>
      <w:tr w:rsidR="0007345F" w:rsidRPr="0007345F" w:rsidTr="00E3005A">
        <w:trPr>
          <w:gridAfter w:val="1"/>
          <w:wAfter w:w="12" w:type="pct"/>
        </w:trPr>
        <w:tc>
          <w:tcPr>
            <w:tcW w:w="9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Наименование необходимых данных для расчета переменных (первичный учет)</w:t>
            </w:r>
            <w:r w:rsidRPr="0007345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hyperlink w:anchor="sub_1616" w:history="1">
              <w:r w:rsidRPr="0007345F">
                <w:rPr>
                  <w:rFonts w:ascii="Times New Roman" w:eastAsia="Calibri" w:hAnsi="Times New Roman" w:cs="Times New Roman"/>
                  <w:color w:val="106BBE"/>
                  <w:vertAlign w:val="superscript"/>
                </w:rPr>
                <w:t>16</w:t>
              </w:r>
            </w:hyperlink>
          </w:p>
        </w:tc>
        <w:tc>
          <w:tcPr>
            <w:tcW w:w="40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Информация о нарушениях обязательных требований, повлекших причинение вреда музейным предметам и музейным коллекциям, включенным в состав Музейного фонда Российской Федерации.</w:t>
            </w:r>
          </w:p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07345F">
              <w:rPr>
                <w:rFonts w:ascii="Times New Roman" w:eastAsia="Calibri" w:hAnsi="Times New Roman" w:cs="Times New Roman"/>
              </w:rPr>
              <w:t>Информация об общем количестве нарушений обязательных требований, повлекших причинение вреда музейным предметам и музейным коллекциям, включенным в состав Музейного фонда Российской Федерации.</w:t>
            </w:r>
          </w:p>
        </w:tc>
      </w:tr>
      <w:tr w:rsidR="0007345F" w:rsidRPr="0007345F" w:rsidTr="00E3005A">
        <w:trPr>
          <w:gridAfter w:val="2"/>
          <w:wAfter w:w="18" w:type="pct"/>
        </w:trPr>
        <w:tc>
          <w:tcPr>
            <w:tcW w:w="9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Источники исходных данных</w:t>
            </w:r>
            <w:r w:rsidRPr="0007345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hyperlink w:anchor="sub_1717" w:history="1">
              <w:r w:rsidRPr="0007345F">
                <w:rPr>
                  <w:rFonts w:ascii="Times New Roman" w:eastAsia="Calibri" w:hAnsi="Times New Roman" w:cs="Times New Roman"/>
                  <w:color w:val="106BBE"/>
                  <w:vertAlign w:val="superscript"/>
                </w:rPr>
                <w:t>17</w:t>
              </w:r>
            </w:hyperlink>
          </w:p>
        </w:tc>
        <w:tc>
          <w:tcPr>
            <w:tcW w:w="39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07345F">
              <w:rPr>
                <w:rFonts w:ascii="Times New Roman" w:eastAsia="Calibri" w:hAnsi="Times New Roman" w:cs="Times New Roman"/>
              </w:rPr>
              <w:t xml:space="preserve">Акты федеральных органов власти (полиция, МЧС и </w:t>
            </w:r>
            <w:proofErr w:type="spellStart"/>
            <w:r w:rsidRPr="0007345F">
              <w:rPr>
                <w:rFonts w:ascii="Times New Roman" w:eastAsia="Calibri" w:hAnsi="Times New Roman" w:cs="Times New Roman"/>
              </w:rPr>
              <w:t>др</w:t>
            </w:r>
            <w:proofErr w:type="spellEnd"/>
            <w:r w:rsidRPr="0007345F">
              <w:rPr>
                <w:rFonts w:ascii="Times New Roman" w:eastAsia="Calibri" w:hAnsi="Times New Roman" w:cs="Times New Roman"/>
              </w:rPr>
              <w:t xml:space="preserve">) о причинении ущерба, материалы проверок, статистические отчеты по формам 8-НК, 4-Э, выписки из АМС КАМИС проверяемых музеев, ФГИС </w:t>
            </w:r>
            <w:proofErr w:type="spellStart"/>
            <w:r w:rsidRPr="0007345F">
              <w:rPr>
                <w:rFonts w:ascii="Times New Roman" w:eastAsia="Calibri" w:hAnsi="Times New Roman" w:cs="Times New Roman"/>
              </w:rPr>
              <w:t>Госкаталог</w:t>
            </w:r>
            <w:proofErr w:type="spellEnd"/>
          </w:p>
        </w:tc>
      </w:tr>
      <w:tr w:rsidR="0007345F" w:rsidRPr="0007345F" w:rsidTr="00E3005A">
        <w:trPr>
          <w:gridAfter w:val="2"/>
          <w:wAfter w:w="18" w:type="pct"/>
        </w:trPr>
        <w:tc>
          <w:tcPr>
            <w:tcW w:w="9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Характеристики, отражающие специфику сбора данных</w:t>
            </w:r>
            <w:r w:rsidRPr="0007345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hyperlink w:anchor="sub_1818" w:history="1">
              <w:r w:rsidRPr="0007345F">
                <w:rPr>
                  <w:rFonts w:ascii="Times New Roman" w:eastAsia="Calibri" w:hAnsi="Times New Roman" w:cs="Times New Roman"/>
                  <w:color w:val="106BBE"/>
                  <w:vertAlign w:val="superscript"/>
                </w:rPr>
                <w:t>18</w:t>
              </w:r>
            </w:hyperlink>
          </w:p>
        </w:tc>
        <w:tc>
          <w:tcPr>
            <w:tcW w:w="39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5F" w:rsidRPr="0007345F" w:rsidRDefault="0007345F" w:rsidP="0007345F">
            <w:pPr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07345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Сбор данных о нарушениях обязательных требований, повлекших причинение вреда музейным предметам и музейным коллекциям, включенным в состав Музейного фонда Российской Федерации, выявленных в рамках регионального государственного контроля, осуществляется по официально оформленным результатам проверок и других контрольно-надзорных мероприятий, в результате мониторинга статистической информации, проверки результатов сверок музейных предметов с инвентарями, запроса выписки из АМС КАМИС проверяемых музеев, мониторинга ФГИС </w:t>
            </w:r>
            <w:proofErr w:type="spellStart"/>
            <w:r w:rsidRPr="0007345F">
              <w:rPr>
                <w:rFonts w:ascii="Times New Roman" w:eastAsia="Times New Roman" w:hAnsi="Times New Roman" w:cs="Times New Roman"/>
                <w:iCs/>
                <w:lang w:eastAsia="ru-RU"/>
              </w:rPr>
              <w:t>Госкаталог</w:t>
            </w:r>
            <w:proofErr w:type="spellEnd"/>
          </w:p>
        </w:tc>
      </w:tr>
      <w:tr w:rsidR="0007345F" w:rsidRPr="0007345F" w:rsidTr="00E3005A">
        <w:trPr>
          <w:gridAfter w:val="2"/>
          <w:wAfter w:w="18" w:type="pct"/>
        </w:trPr>
        <w:tc>
          <w:tcPr>
            <w:tcW w:w="9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Ограничения данных</w:t>
            </w:r>
            <w:r w:rsidRPr="0007345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hyperlink w:anchor="sub_1919" w:history="1">
              <w:r w:rsidRPr="0007345F">
                <w:rPr>
                  <w:rFonts w:ascii="Times New Roman" w:eastAsia="Calibri" w:hAnsi="Times New Roman" w:cs="Times New Roman"/>
                  <w:color w:val="106BBE"/>
                  <w:vertAlign w:val="superscript"/>
                </w:rPr>
                <w:t>19</w:t>
              </w:r>
            </w:hyperlink>
          </w:p>
        </w:tc>
        <w:tc>
          <w:tcPr>
            <w:tcW w:w="39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5F" w:rsidRPr="0007345F" w:rsidRDefault="0007345F" w:rsidP="0007345F">
            <w:pPr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07345F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07345F" w:rsidRPr="0007345F" w:rsidTr="00E3005A">
        <w:trPr>
          <w:gridAfter w:val="2"/>
          <w:wAfter w:w="18" w:type="pct"/>
        </w:trPr>
        <w:tc>
          <w:tcPr>
            <w:tcW w:w="9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Процедуры обеспечения качества данных</w:t>
            </w:r>
            <w:r w:rsidRPr="0007345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hyperlink w:anchor="sub_2020" w:history="1">
              <w:r w:rsidRPr="0007345F">
                <w:rPr>
                  <w:rFonts w:ascii="Times New Roman" w:eastAsia="Calibri" w:hAnsi="Times New Roman" w:cs="Times New Roman"/>
                  <w:color w:val="106BBE"/>
                  <w:vertAlign w:val="superscript"/>
                </w:rPr>
                <w:t>20</w:t>
              </w:r>
            </w:hyperlink>
          </w:p>
        </w:tc>
        <w:tc>
          <w:tcPr>
            <w:tcW w:w="39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5F" w:rsidRPr="0007345F" w:rsidRDefault="0007345F" w:rsidP="0007345F">
            <w:pPr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07345F">
              <w:rPr>
                <w:rFonts w:ascii="Times New Roman" w:eastAsia="Times New Roman" w:hAnsi="Times New Roman" w:cs="Times New Roman"/>
                <w:lang w:eastAsia="ru-RU"/>
              </w:rPr>
              <w:t>Качество данных обеспечивается за счет персональной ответственности и уровня квалификации сотрудников Отдела</w:t>
            </w:r>
          </w:p>
        </w:tc>
      </w:tr>
      <w:tr w:rsidR="0007345F" w:rsidRPr="0007345F" w:rsidTr="00E3005A">
        <w:trPr>
          <w:gridAfter w:val="2"/>
          <w:wAfter w:w="18" w:type="pct"/>
        </w:trPr>
        <w:tc>
          <w:tcPr>
            <w:tcW w:w="9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Надзор за данными</w:t>
            </w:r>
            <w:r w:rsidRPr="0007345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hyperlink w:anchor="sub_2121" w:history="1">
              <w:r w:rsidRPr="0007345F">
                <w:rPr>
                  <w:rFonts w:ascii="Times New Roman" w:eastAsia="Calibri" w:hAnsi="Times New Roman" w:cs="Times New Roman"/>
                  <w:color w:val="106BBE"/>
                  <w:vertAlign w:val="superscript"/>
                </w:rPr>
                <w:t>21</w:t>
              </w:r>
            </w:hyperlink>
          </w:p>
        </w:tc>
        <w:tc>
          <w:tcPr>
            <w:tcW w:w="39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5F" w:rsidRPr="0007345F" w:rsidRDefault="0007345F" w:rsidP="0007345F">
            <w:pPr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07345F">
              <w:rPr>
                <w:rFonts w:ascii="Times New Roman" w:eastAsia="Times New Roman" w:hAnsi="Times New Roman" w:cs="Times New Roman"/>
                <w:lang w:eastAsia="ru-RU"/>
              </w:rPr>
              <w:t>Надзор за подготовкой и достоверностью данных, необходимых для расчета показателя, обеспечивает начальник Отдела</w:t>
            </w:r>
          </w:p>
        </w:tc>
      </w:tr>
      <w:tr w:rsidR="0007345F" w:rsidRPr="0007345F" w:rsidTr="00E3005A">
        <w:trPr>
          <w:gridAfter w:val="2"/>
          <w:wAfter w:w="18" w:type="pct"/>
        </w:trPr>
        <w:tc>
          <w:tcPr>
            <w:tcW w:w="9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Сроки представления окончательных результатов</w:t>
            </w:r>
            <w:r w:rsidRPr="0007345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hyperlink w:anchor="sub_22222" w:history="1">
              <w:r w:rsidRPr="0007345F">
                <w:rPr>
                  <w:rFonts w:ascii="Times New Roman" w:eastAsia="Calibri" w:hAnsi="Times New Roman" w:cs="Times New Roman"/>
                  <w:color w:val="106BBE"/>
                  <w:vertAlign w:val="superscript"/>
                </w:rPr>
                <w:t>22</w:t>
              </w:r>
            </w:hyperlink>
          </w:p>
        </w:tc>
        <w:tc>
          <w:tcPr>
            <w:tcW w:w="39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5F" w:rsidRPr="0007345F" w:rsidRDefault="0007345F" w:rsidP="0007345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07345F">
              <w:rPr>
                <w:rFonts w:ascii="Times New Roman" w:eastAsia="Times New Roman" w:hAnsi="Times New Roman" w:cs="Times New Roman"/>
                <w:lang w:eastAsia="ru-RU"/>
              </w:rPr>
              <w:t>Результаты достижения целевых значений показателя включаются в ежегодный отчет о результатах оценки результативности и эффективности регионального государственного контроля в срок до 1 марта года следующего за отчетным в Департамент финансов, экономики и имущественных отношений Чукотского автономного округа</w:t>
            </w:r>
          </w:p>
        </w:tc>
      </w:tr>
      <w:tr w:rsidR="0007345F" w:rsidRPr="0007345F" w:rsidTr="00E3005A">
        <w:trPr>
          <w:gridAfter w:val="2"/>
          <w:wAfter w:w="18" w:type="pct"/>
        </w:trPr>
        <w:tc>
          <w:tcPr>
            <w:tcW w:w="9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F" w:rsidRPr="0007345F" w:rsidRDefault="0007345F" w:rsidP="0007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345F">
              <w:rPr>
                <w:rFonts w:ascii="Times New Roman" w:eastAsia="Calibri" w:hAnsi="Times New Roman" w:cs="Times New Roman"/>
              </w:rPr>
              <w:t>Механизм внешнего аудита данных</w:t>
            </w:r>
            <w:r w:rsidRPr="0007345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hyperlink w:anchor="sub_2323" w:history="1">
              <w:r w:rsidRPr="0007345F">
                <w:rPr>
                  <w:rFonts w:ascii="Times New Roman" w:eastAsia="Calibri" w:hAnsi="Times New Roman" w:cs="Times New Roman"/>
                  <w:color w:val="106BBE"/>
                  <w:vertAlign w:val="superscript"/>
                </w:rPr>
                <w:t>23</w:t>
              </w:r>
            </w:hyperlink>
          </w:p>
        </w:tc>
        <w:tc>
          <w:tcPr>
            <w:tcW w:w="39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45F" w:rsidRPr="0007345F" w:rsidRDefault="0007345F" w:rsidP="0007345F">
            <w:pPr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07345F">
              <w:rPr>
                <w:rFonts w:ascii="Times New Roman" w:eastAsia="Times New Roman" w:hAnsi="Times New Roman" w:cs="Times New Roman"/>
                <w:lang w:eastAsia="ru-RU"/>
              </w:rPr>
              <w:t>Не предусмотрен</w:t>
            </w:r>
          </w:p>
        </w:tc>
      </w:tr>
    </w:tbl>
    <w:p w:rsidR="0085656C" w:rsidRPr="0007345F" w:rsidRDefault="007516BA" w:rsidP="0007345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Порт </w:t>
      </w:r>
      <w:bookmarkStart w:id="4" w:name="_GoBack"/>
      <w:bookmarkEnd w:id="4"/>
    </w:p>
    <w:sectPr w:rsidR="0085656C" w:rsidRPr="0007345F" w:rsidSect="000734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5F"/>
    <w:rsid w:val="0007345F"/>
    <w:rsid w:val="007516BA"/>
    <w:rsid w:val="0085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Ранаврольтына Татьяна Григорьевна</dc:creator>
  <cp:lastModifiedBy>Ранаврольтына Татьяна Григорьевна</cp:lastModifiedBy>
  <cp:revision>2</cp:revision>
  <dcterms:created xsi:type="dcterms:W3CDTF">2020-07-05T21:48:00Z</dcterms:created>
  <dcterms:modified xsi:type="dcterms:W3CDTF">2020-07-05T21:48:00Z</dcterms:modified>
</cp:coreProperties>
</file>