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tbl>
      <w:tblPr>
        <w:tblStyle w:val="2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5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2"/>
        <w:keepNext w:val="0"/>
        <w:rPr>
          <w:b w:val="0"/>
          <w:szCs w:val="28"/>
          <w:lang w:val="ru-RU"/>
        </w:rPr>
      </w:pPr>
    </w:p>
    <w:p>
      <w:pPr>
        <w:pStyle w:val="2"/>
        <w:keepNext w:val="0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23"/>
        <w:tblW w:w="9692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260"/>
        <w:gridCol w:w="236"/>
        <w:gridCol w:w="608"/>
        <w:gridCol w:w="1126"/>
        <w:gridCol w:w="3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27.02.2019</w:t>
            </w:r>
          </w:p>
        </w:tc>
        <w:tc>
          <w:tcPr>
            <w:tcW w:w="236" w:type="dxa"/>
            <w:vAlign w:val="center"/>
          </w:tcPr>
          <w:p>
            <w:pPr>
              <w:pStyle w:val="1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>
            <w:pPr>
              <w:pStyle w:val="14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>
            <w:pPr>
              <w:pStyle w:val="14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325</w:t>
            </w:r>
          </w:p>
        </w:tc>
        <w:tc>
          <w:tcPr>
            <w:tcW w:w="3858" w:type="dxa"/>
            <w:vAlign w:val="center"/>
          </w:tcPr>
          <w:p>
            <w:pPr>
              <w:pStyle w:val="14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jc w:val="both"/>
        <w:outlineLvl w:val="2"/>
        <w:rPr>
          <w:sz w:val="26"/>
          <w:szCs w:val="26"/>
        </w:rPr>
      </w:pPr>
    </w:p>
    <w:p>
      <w:pPr>
        <w:jc w:val="both"/>
        <w:outlineLvl w:val="2"/>
        <w:rPr>
          <w:sz w:val="26"/>
          <w:szCs w:val="26"/>
        </w:rPr>
      </w:pPr>
    </w:p>
    <w:tbl>
      <w:tblPr>
        <w:tblStyle w:val="24"/>
        <w:tblW w:w="9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4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</w:t>
            </w:r>
          </w:p>
        </w:tc>
        <w:tc>
          <w:tcPr>
            <w:tcW w:w="4856" w:type="dxa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>
      <w:pPr>
        <w:jc w:val="both"/>
        <w:outlineLvl w:val="2"/>
        <w:rPr>
          <w:sz w:val="28"/>
          <w:szCs w:val="28"/>
        </w:rPr>
      </w:pPr>
    </w:p>
    <w:p>
      <w:pPr>
        <w:ind w:firstLine="851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распоряжения Губернатора Чукотского автономного округа от 18 февраля 2019 года № 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 2258-р,</w:t>
      </w:r>
    </w:p>
    <w:p>
      <w:pPr>
        <w:jc w:val="both"/>
        <w:rPr>
          <w:sz w:val="26"/>
          <w:szCs w:val="26"/>
        </w:rPr>
      </w:pPr>
    </w:p>
    <w:p>
      <w:pPr>
        <w:pStyle w:val="16"/>
        <w:spacing w:line="24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jc w:val="both"/>
        <w:rPr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 согласно приложению к настоящему Приказу.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Отделу административно-организационной и правовой работы Департамента социальной политики Чукотского автономного округа обеспечить ознакомление сотрудников Департамента социальной политики Чукотского автономного округа с настоящим приказом.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приказа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2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  <w:shd w:val="clear" w:color="auto" w:fill="auto"/>
          </w:tcPr>
          <w:p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>
      <w:pPr>
        <w:outlineLvl w:val="2"/>
        <w:rPr>
          <w:sz w:val="28"/>
          <w:szCs w:val="28"/>
        </w:rPr>
      </w:pPr>
    </w:p>
    <w:p/>
    <w:p/>
    <w:p/>
    <w:p/>
    <w:p>
      <w:pPr>
        <w:ind w:firstLine="851"/>
        <w:jc w:val="right"/>
      </w:pPr>
      <w:r>
        <w:t xml:space="preserve">Приложение     </w:t>
      </w:r>
    </w:p>
    <w:p>
      <w:pPr>
        <w:ind w:firstLine="851"/>
        <w:jc w:val="right"/>
      </w:pPr>
      <w:r>
        <w:t>к Приказу Департамента социальной политики</w:t>
      </w:r>
    </w:p>
    <w:p>
      <w:pPr>
        <w:ind w:firstLine="851"/>
        <w:jc w:val="right"/>
      </w:pPr>
      <w:r>
        <w:t xml:space="preserve">  Чукотского автономного округа</w:t>
      </w:r>
    </w:p>
    <w:p>
      <w:pPr>
        <w:ind w:right="-2" w:firstLine="851"/>
        <w:jc w:val="right"/>
      </w:pPr>
      <w:r>
        <w:t xml:space="preserve">                                                                                       от «__» февраля 2019 года № ___ </w:t>
      </w:r>
    </w:p>
    <w:p>
      <w:pPr>
        <w:jc w:val="center"/>
      </w:pPr>
    </w:p>
    <w:p>
      <w:pPr>
        <w:ind w:firstLine="851"/>
        <w:jc w:val="right"/>
      </w:pPr>
    </w:p>
    <w:p>
      <w:pPr>
        <w:ind w:firstLine="851"/>
        <w:jc w:val="right"/>
      </w:pPr>
    </w:p>
    <w:p>
      <w:pPr>
        <w:jc w:val="center"/>
        <w:rPr>
          <w:b/>
          <w:sz w:val="26"/>
          <w:szCs w:val="26"/>
        </w:rPr>
      </w:pPr>
      <w:bookmarkStart w:id="34" w:name="_GoBack"/>
      <w:r>
        <w:rPr>
          <w:b/>
          <w:sz w:val="26"/>
          <w:szCs w:val="26"/>
        </w:rPr>
        <w:t xml:space="preserve">Положение о системе внутреннего обеспечения соответствия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требованиям антимонопольного законодательства в Департаменте социальной политики Чукотского автономного округа</w:t>
      </w:r>
      <w:bookmarkEnd w:id="34"/>
    </w:p>
    <w:p>
      <w:pPr>
        <w:pStyle w:val="2"/>
        <w:rPr>
          <w:sz w:val="26"/>
          <w:szCs w:val="26"/>
        </w:rPr>
      </w:pPr>
      <w:bookmarkStart w:id="1" w:name="sub_100"/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  <w:bookmarkEnd w:id="1"/>
    </w:p>
    <w:p>
      <w:pPr>
        <w:ind w:firstLine="851"/>
        <w:jc w:val="both"/>
        <w:rPr>
          <w:sz w:val="26"/>
          <w:szCs w:val="26"/>
        </w:rPr>
      </w:pPr>
      <w:bookmarkStart w:id="2" w:name="sub_1001"/>
      <w:r>
        <w:rPr>
          <w:sz w:val="26"/>
          <w:szCs w:val="26"/>
        </w:rPr>
        <w:t>1. Настоящее Положение 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 (антимонопольный комплаенс) (далее - Положение) разработано в целях обеспечения соответствия деятельности Департамента социальной политики Чукотского автономного округа требованиям антимонопольного законодательства и профилактики нарушений требований антимонопольного законодательства в деятельности Департамента социальной политики Чукотского автономного округа (далее - Департамент).</w:t>
      </w:r>
    </w:p>
    <w:bookmarkEnd w:id="2"/>
    <w:p>
      <w:pPr>
        <w:ind w:firstLine="851"/>
        <w:jc w:val="both"/>
        <w:rPr>
          <w:sz w:val="26"/>
          <w:szCs w:val="26"/>
        </w:rPr>
      </w:pPr>
      <w:bookmarkStart w:id="3" w:name="sub_1002"/>
      <w:r>
        <w:rPr>
          <w:sz w:val="26"/>
          <w:szCs w:val="26"/>
        </w:rPr>
        <w:t>2. 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 (далее - Методические рекомендации).</w:t>
      </w:r>
    </w:p>
    <w:bookmarkEnd w:id="3"/>
    <w:p>
      <w:pPr>
        <w:rPr>
          <w:sz w:val="26"/>
          <w:szCs w:val="26"/>
        </w:rPr>
      </w:pPr>
    </w:p>
    <w:p>
      <w:pPr>
        <w:pStyle w:val="2"/>
        <w:rPr>
          <w:sz w:val="26"/>
          <w:szCs w:val="26"/>
        </w:rPr>
      </w:pPr>
      <w:bookmarkStart w:id="4" w:name="sub_200"/>
      <w:r>
        <w:rPr>
          <w:sz w:val="26"/>
          <w:szCs w:val="26"/>
        </w:rPr>
        <w:t>II. Организация антимонопольного комплаенса</w:t>
      </w:r>
      <w:bookmarkEnd w:id="4"/>
    </w:p>
    <w:p>
      <w:pPr>
        <w:ind w:firstLine="851"/>
        <w:jc w:val="both"/>
        <w:rPr>
          <w:sz w:val="26"/>
          <w:szCs w:val="26"/>
        </w:rPr>
      </w:pPr>
      <w:bookmarkStart w:id="5" w:name="sub_1005"/>
      <w:r>
        <w:rPr>
          <w:sz w:val="26"/>
          <w:szCs w:val="26"/>
        </w:rPr>
        <w:t>3. Общий контроль организации антимонопольного комплаенса и обеспечения его функционирования в Департаменте осуществляется начальником Департамента, который:</w:t>
      </w:r>
    </w:p>
    <w:bookmarkEnd w:id="5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утверждает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применяет предусмотренные законодательством Российской Федерации меры ответственности за нарушение сотрудниками Департамента правил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осуществляет контроль за устранением выявленных недостатков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утверждает карту рисков нарушений антимонопольного законодательства Департамента;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утверждает ключевые показатели эффективности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утверждает план мероприятий («дорожную карту») по снижению рисков нарушений антимонопольного законодательства Департамента;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з) подписывает доклад об антимонопольном комплаенсе, утверждаемый коллегиальным органом, осуществляющим оценку эффективности функционирования антимонопольного комплаенса.</w:t>
      </w:r>
    </w:p>
    <w:p>
      <w:pPr>
        <w:ind w:firstLine="851"/>
        <w:jc w:val="both"/>
        <w:rPr>
          <w:sz w:val="26"/>
          <w:szCs w:val="26"/>
        </w:rPr>
      </w:pPr>
      <w:bookmarkStart w:id="6" w:name="sub_1006"/>
      <w:r>
        <w:rPr>
          <w:sz w:val="26"/>
          <w:szCs w:val="26"/>
        </w:rPr>
        <w:t>4. Функции уполномоченного подразделения, связанные с организацией и функционированием антимонопольного комплаенса, осуществляются структурными подразделением Департамента: отделом административно-организационной и правовой работы.</w:t>
      </w:r>
    </w:p>
    <w:bookmarkEnd w:id="6"/>
    <w:p>
      <w:pPr>
        <w:ind w:firstLine="851"/>
        <w:jc w:val="both"/>
        <w:rPr>
          <w:sz w:val="26"/>
          <w:szCs w:val="26"/>
        </w:rPr>
      </w:pPr>
      <w:bookmarkStart w:id="7" w:name="sub_1007"/>
      <w:r>
        <w:rPr>
          <w:sz w:val="26"/>
          <w:szCs w:val="26"/>
        </w:rPr>
        <w:t>5. К компетенции отдела административно-организационной и правовой работы Департамента относятся следующие функции уполномоченного подразделения:</w:t>
      </w:r>
    </w:p>
    <w:bookmarkEnd w:id="7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выявление и оценка рисков нарушений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нарушений антимонопольного законодательства;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выявление конфликта интересов в деятельности служащих и структурных подразделений Департамента, разработка предложений по их исключению;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консультирование сотрудников Департамента по вопросам, связанным с соблюдением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и антимонопольным комплаенсом;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инициирование проверок, связанных с нарушениями, выявленными в ходе контроля соответствия деятельности сотрудников требованиям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rStyle w:val="26"/>
          <w:color w:val="auto"/>
          <w:sz w:val="26"/>
          <w:szCs w:val="26"/>
        </w:rPr>
        <w:t>антимонопольного законодательства</w:t>
      </w:r>
      <w:r>
        <w:rPr>
          <w:rStyle w:val="26"/>
          <w:color w:val="auto"/>
          <w:sz w:val="26"/>
          <w:szCs w:val="26"/>
        </w:rPr>
        <w:fldChar w:fldCharType="end"/>
      </w:r>
      <w:r>
        <w:rPr>
          <w:sz w:val="26"/>
          <w:szCs w:val="26"/>
        </w:rPr>
        <w:t>, и участие в них в порядке, установленном действующим законодательством;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проведение проверок, связанных с нарушениями, выявленными в ходе контроля соответствия деятельности сотрудников Департамента требованиям антимонопольного законодательства, в порядке, установленном действующим законодательством;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организация взаимодействия с другими структурными подразделениями Департамента по вопросам, связанным с антимонопольным комплаенсом;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информирование начальника Департамента о внутренних документах, которые могут повлечь нарушение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з) подготовка проекта доклада об антимонопольном комплаенсе;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и) взаимодействие с антимонопольным органом и содействие ему в части, касающейся вопросов, связанных с проводимыми проверками;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к) подготовка карты рисков нарушений антимонопольного законодательства Департамента;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л) подготовка плана мероприятий («дорожной карты») по снижению рисков нарушений антимонопольного законодательства Департамента;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м) ознакомление гражданина Российской Федерации с настоящим Положением при поступлении на работу в Департамент.</w:t>
      </w:r>
    </w:p>
    <w:p>
      <w:pPr>
        <w:ind w:firstLine="851"/>
        <w:jc w:val="both"/>
        <w:rPr>
          <w:sz w:val="26"/>
          <w:szCs w:val="26"/>
        </w:rPr>
      </w:pPr>
      <w:bookmarkStart w:id="8" w:name="sub_1008"/>
      <w:r>
        <w:rPr>
          <w:sz w:val="26"/>
          <w:szCs w:val="26"/>
        </w:rPr>
        <w:t>н) подготовка изменений в настоящее Положение, а также подготовка внутриведомственных документов Департамента в целях реализации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о) информирование начальника Департамента о внутренних документах, которые могут повлечь нарушение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п) определение и внесение на утверждение начальнику Департамента ключевых показателей эффективности антимонопольного комплаенса.</w:t>
      </w:r>
    </w:p>
    <w:bookmarkEnd w:id="8"/>
    <w:p>
      <w:pPr>
        <w:ind w:firstLine="851"/>
        <w:jc w:val="both"/>
        <w:rPr>
          <w:sz w:val="26"/>
          <w:szCs w:val="26"/>
        </w:rPr>
      </w:pPr>
      <w:bookmarkStart w:id="9" w:name="sub_1011"/>
      <w:r>
        <w:rPr>
          <w:sz w:val="26"/>
          <w:szCs w:val="26"/>
        </w:rPr>
        <w:t>7. К функциям Коллегиального органа относятся:</w:t>
      </w:r>
    </w:p>
    <w:bookmarkEnd w:id="9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рассмотрение и оценка мероприятий Департамента в части, касающейся функционирования антимонопольного комплаенса;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рассмотрение и утверждение доклада об антимонопольном комплаенсе.</w:t>
      </w:r>
    </w:p>
    <w:p>
      <w:pPr>
        <w:ind w:firstLine="851"/>
        <w:jc w:val="both"/>
        <w:rPr>
          <w:sz w:val="26"/>
          <w:szCs w:val="26"/>
        </w:rPr>
      </w:pPr>
    </w:p>
    <w:p>
      <w:pPr>
        <w:pStyle w:val="2"/>
        <w:rPr>
          <w:sz w:val="26"/>
          <w:szCs w:val="26"/>
        </w:rPr>
      </w:pPr>
      <w:bookmarkStart w:id="10" w:name="sub_300"/>
      <w:r>
        <w:rPr>
          <w:sz w:val="26"/>
          <w:szCs w:val="26"/>
        </w:rPr>
        <w:t xml:space="preserve">III. Выявление и оценка рисков нарушения Департаментом </w:t>
      </w:r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законодательства </w:t>
      </w:r>
      <w:bookmarkEnd w:id="10"/>
    </w:p>
    <w:p>
      <w:pPr>
        <w:ind w:firstLine="851"/>
        <w:jc w:val="both"/>
        <w:rPr>
          <w:sz w:val="26"/>
          <w:szCs w:val="26"/>
        </w:rPr>
      </w:pPr>
      <w:bookmarkStart w:id="11" w:name="sub_1013"/>
      <w:r>
        <w:rPr>
          <w:sz w:val="26"/>
          <w:szCs w:val="26"/>
        </w:rPr>
        <w:t>8. В целях выявления и оценки рисков нарушения антимонопольного законодательства проводится:</w:t>
      </w:r>
    </w:p>
    <w:bookmarkEnd w:id="11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анализ деятельности Департамента на предмет нарушений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за предыдущие 3 года;</w:t>
      </w:r>
    </w:p>
    <w:p>
      <w:pPr>
        <w:ind w:firstLine="851"/>
        <w:jc w:val="both"/>
        <w:rPr>
          <w:sz w:val="26"/>
          <w:szCs w:val="26"/>
        </w:rPr>
      </w:pPr>
      <w:bookmarkStart w:id="12" w:name="sub_10132"/>
      <w:r>
        <w:rPr>
          <w:sz w:val="26"/>
          <w:szCs w:val="26"/>
        </w:rPr>
        <w:t>б) анализ нормативных правовых актов Департамента;</w:t>
      </w:r>
    </w:p>
    <w:bookmarkEnd w:id="12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анализ проектов нормативных правовых актов Департамента на предмет выявления нарушений </w:t>
      </w:r>
      <w:r>
        <w:fldChar w:fldCharType="begin"/>
      </w:r>
      <w:r>
        <w:instrText xml:space="preserve"> HYPERLINK "garantF1://12048517.2" </w:instrText>
      </w:r>
      <w:r>
        <w:fldChar w:fldCharType="separate"/>
      </w:r>
      <w:r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определение уровня рисков нарушений антимонопольного законодательства;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оценка эффективности разработанных и реализуемых мероприятий </w:t>
      </w:r>
      <w:bookmarkStart w:id="13" w:name="sub_1014"/>
      <w:r>
        <w:rPr>
          <w:sz w:val="26"/>
          <w:szCs w:val="26"/>
        </w:rPr>
        <w:t xml:space="preserve">Департамента в части, касающейся функционирования антимонопольного комплаенса. 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мероприятий, указанных в </w:t>
      </w:r>
      <w:r>
        <w:fldChar w:fldCharType="begin"/>
      </w:r>
      <w:r>
        <w:instrText xml:space="preserve"> HYPERLINK "consultantplus://offline/ref=F02CF448532A0BE3BB846AB14BB096AA4438338017511D392615E2624F50D42D6AEEC4EDBE75E2B2345AEA6477231CD0F07361B8022C49BFR5E6G" </w:instrText>
      </w:r>
      <w:r>
        <w:fldChar w:fldCharType="separate"/>
      </w:r>
      <w:r>
        <w:rPr>
          <w:sz w:val="26"/>
          <w:szCs w:val="26"/>
        </w:rPr>
        <w:t>подпунктах «а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</w:t>
      </w:r>
      <w:r>
        <w:fldChar w:fldCharType="begin"/>
      </w:r>
      <w:r>
        <w:instrText xml:space="preserve"> HYPERLINK "consultantplus://offline/ref=F02CF448532A0BE3BB846AB14BB096AA4438338017511D392615E2624F50D42D6AEEC4EDBE75E2B2335AEA6477231CD0F07361B8022C49BFR5E6G" </w:instrText>
      </w:r>
      <w:r>
        <w:fldChar w:fldCharType="separate"/>
      </w:r>
      <w:r>
        <w:rPr>
          <w:sz w:val="26"/>
          <w:szCs w:val="26"/>
        </w:rPr>
        <w:t>«б»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настоящего пункта, административно-организационной и правовой работы готовит аналитическую справку, которая подлежит представлению начальнику Департамента не позднее 1 декабря отчетного года.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 проведении мероприятий, предусмотренных </w:t>
      </w:r>
      <w:r>
        <w:fldChar w:fldCharType="begin"/>
      </w:r>
      <w:r>
        <w:instrText xml:space="preserve"> HYPERLINK "consultantplus://offline/ref=F02CF448532A0BE3BB846AB14BB096AA4438338017511D392615E2624F50D42D6AEEC4EDBE75E2B2345AEA6477231CD0F07361B8022C49BFR5E6G" </w:instrText>
      </w:r>
      <w:r>
        <w:fldChar w:fldCharType="separate"/>
      </w:r>
      <w:r>
        <w:rPr>
          <w:sz w:val="26"/>
          <w:szCs w:val="26"/>
        </w:rPr>
        <w:t xml:space="preserve">подпунктом «а» пункта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8 Положения, административно-организационной и правовой работы осуществляет: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сбор сведений о наличии нарушений антимонопольного законодательства в структурных подразделениях Департамента;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 проведении мероприятий, предусмотренных </w:t>
      </w:r>
      <w:r>
        <w:fldChar w:fldCharType="begin"/>
      </w:r>
      <w:r>
        <w:instrText xml:space="preserve"> HYPERLINK "consultantplus://offline/ref=F02CF448532A0BE3BB846AB14BB096AA4438338017511D392615E2624F50D42D6AEEC4EDBE75E2B2335AEA6477231CD0F07361B8022C49BFR5E6G" </w:instrText>
      </w:r>
      <w:r>
        <w:fldChar w:fldCharType="separate"/>
      </w:r>
      <w:r>
        <w:rPr>
          <w:sz w:val="26"/>
          <w:szCs w:val="26"/>
        </w:rPr>
        <w:t xml:space="preserve">подпунктом «б» пункта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8 Положения за период с 1 июля предыдущего года по 1 июля текущего года, административно-организационной и правовой работы осуществляет: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исчерпывающего перечня нормативных правовых актов Департамента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Чукотского автономного округа в информационно-телекоммуникационной сети «Интернет» (далее - сеть «Интернет»);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на официальном сайте Чукотского автономного округа в сети «Интернет» уведомления о начале сбора замечаний и предложений организаций и граждан по перечню актов (в срок не позднее 15 июля отчетного года) относительно их соответствия антимонопольному законодательству;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сбор замечаний и предложений организаций и граждан по перечню актов (в срок не позднее 15 августа отчетного года);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анализ представленных замечаний и предложений организаций и граждан по перечню актов (в срок не позднее 1 ноября отчетного года).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При проведении мероприятий, предусмотренных </w:t>
      </w:r>
      <w:r>
        <w:fldChar w:fldCharType="begin"/>
      </w:r>
      <w:r>
        <w:instrText xml:space="preserve"> HYPERLINK "consultantplus://offline/ref=F02CF448532A0BE3BB846AB14BB096AA4438338017511D392615E2624F50D42D6AEEC4EDBE75E2B2325AEA6477231CD0F07361B8022C49BFR5E6G" </w:instrText>
      </w:r>
      <w:r>
        <w:fldChar w:fldCharType="separate"/>
      </w:r>
      <w:r>
        <w:rPr>
          <w:sz w:val="26"/>
          <w:szCs w:val="26"/>
        </w:rPr>
        <w:t xml:space="preserve">подпунктом «в» пункта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8 Положения на постоянной основе: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проекта нормативного правового акта, в том числе с описанием его влияния на конкуренцию, на официальном сайте Чукотского автономного округа в сети «Интернет» (размещение на официальном сайте regulation.gov.ru в сети «Интернет» приравнивается к такому размещению) осуществляется Отделом, являющимся разработчиком соответствующего нормативного правового акта (далее - разработчик), с уведомлением об этом отдела правового обеспечения и гражданской службы;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оценка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разработчику заключения о соответствии (несоответствии) такого проекта антимонопольному законодательству осуществляются отделом правового обеспечения и гражданской службы;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начальнику Департамента проекта нормативного правового акта Департамента осуществляется разработчиком с приложением заключения отдела правового обеспечения и гражданской службы о соответствии (несоответствии) такого проекта антимонопольному законодательству.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При проведении мероприятий, предусмотренных </w:t>
      </w:r>
      <w:r>
        <w:fldChar w:fldCharType="begin"/>
      </w:r>
      <w:r>
        <w:instrText xml:space="preserve"> HYPERLINK "consultantplus://offline/ref=F02CF448532A0BE3BB846AB14BB096AA4438338017511D392615E2624F50D42D6AEEC4EDBE75E2B2315AEA6477231CD0F07361B8022C49BFR5E6G" </w:instrText>
      </w:r>
      <w:r>
        <w:fldChar w:fldCharType="separate"/>
      </w:r>
      <w:r>
        <w:rPr>
          <w:sz w:val="26"/>
          <w:szCs w:val="26"/>
        </w:rPr>
        <w:t xml:space="preserve">подпунктом «г» пункта 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8 Положения, отдел правового обеспечения и гражданской службы осуществляет: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описание рисков нарушения антимонопольного законодательства с определением причин и условий их возникновения;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присвоение каждому риску нарушения антимонопольного законодательства соответствующего уровня в соответствии с Методическими </w:t>
      </w:r>
      <w:r>
        <w:fldChar w:fldCharType="begin"/>
      </w:r>
      <w:r>
        <w:instrText xml:space="preserve"> HYPERLINK "consultantplus://offline/ref=F02CF448532A0BE3BB8463A84CB096AA41303B8019511D392615E2624F50D42D6AEEC4EDBE75E2B43F5AEA6477231CD0F07361B8022C49BFR5E6G" </w:instrText>
      </w:r>
      <w:r>
        <w:fldChar w:fldCharType="separate"/>
      </w:r>
      <w:r>
        <w:rPr>
          <w:sz w:val="26"/>
          <w:szCs w:val="26"/>
        </w:rPr>
        <w:t>рекомендациями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Выявленные риски отражаются отделом административно-организационной и правовой работы в карте рисков нарушений антимонопольного законодательства Департамента, которая утверждается начальником Департамента и размещается на официальном сайте Чукотского автономного округа в сети «Интернет» в срок не позднее 20 декабря отчетного года.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 Информация о проведении мероприятий, предусмотренных настоящим разделом, включается в доклад об антимонопольном комплаенсе.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bookmarkEnd w:id="13"/>
    <w:p>
      <w:pPr>
        <w:pStyle w:val="2"/>
        <w:rPr>
          <w:sz w:val="26"/>
          <w:szCs w:val="26"/>
        </w:rPr>
      </w:pPr>
      <w:bookmarkStart w:id="14" w:name="sub_500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V. План мероприятий («дорожная карта») по снижению рисков </w:t>
      </w:r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>нарушений антимонопольного законодательства</w:t>
      </w:r>
    </w:p>
    <w:bookmarkEnd w:id="14"/>
    <w:p>
      <w:pPr>
        <w:ind w:firstLine="851"/>
        <w:jc w:val="both"/>
        <w:rPr>
          <w:sz w:val="26"/>
          <w:szCs w:val="26"/>
        </w:rPr>
      </w:pPr>
      <w:bookmarkStart w:id="15" w:name="sub_1028"/>
      <w:r>
        <w:rPr>
          <w:sz w:val="26"/>
          <w:szCs w:val="26"/>
        </w:rPr>
        <w:t>14. В целях снижения рисков нарушений антимонопольного законодательства отделом административно-организационной и правовой работы ежегодно разрабатывается план мероприятий («дорожная карта») по снижению рисков нарушений антимонопольного законодательства. План мероприятий («дорожная карта») по снижению рисков нарушений антимонопольного законодательства Департамента подлежит пересмотру в случае внесения изменений в карту рисков нарушений антимонопольного законодательства Департамента.</w:t>
      </w:r>
    </w:p>
    <w:bookmarkEnd w:id="15"/>
    <w:p>
      <w:pPr>
        <w:ind w:firstLine="851"/>
        <w:jc w:val="both"/>
        <w:rPr>
          <w:sz w:val="26"/>
          <w:szCs w:val="26"/>
        </w:rPr>
      </w:pPr>
      <w:bookmarkStart w:id="16" w:name="sub_1029"/>
      <w:r>
        <w:rPr>
          <w:sz w:val="26"/>
          <w:szCs w:val="26"/>
        </w:rPr>
        <w:t>15. План мероприятий («дорожная карта») по снижению рисков нарушений антимонопольного законодательства Департамента должен содержать в разрезе каждого риска (согласно карте рисков нарушений антимонопольного законодательства Департамента) конкретные мероприятия, необходимые для устранения выявленных рисков.</w:t>
      </w:r>
    </w:p>
    <w:bookmarkEnd w:id="16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плане мероприятий («дорожной карте») по снижению рисков нарушений антимонопольного законодательства Департамента в обязательном порядке должны быть указаны: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общие меры по минимизации и устранению рисков (согласно карте рисков нарушений антимонопольного законодательства Департамента);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описание конкретных действий (мероприятий), направленных на минимизацию и устранение рисков нарушений антимонопольного законодательства;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 (с указанием должности и структурного подразделения);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мероприятия.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в плане мероприятий («дорожной карте») по снижению рисков нарушений антимонопольного законодательства Департамента могут быть указаны дополнительные сведения</w:t>
      </w:r>
      <w:bookmarkStart w:id="17" w:name="sub_1030"/>
      <w:r>
        <w:rPr>
          <w:sz w:val="26"/>
          <w:szCs w:val="26"/>
        </w:rPr>
        <w:t>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План мероприятий («дорожная карта») по снижению рисков нарушений антимонопольного законодательства Департамента утверждается начальником Департамента в срок не позднее 31 декабря года, предшествующему году, на который планируются мероприятия. </w:t>
      </w:r>
    </w:p>
    <w:bookmarkEnd w:id="17"/>
    <w:p>
      <w:pPr>
        <w:ind w:firstLine="851"/>
        <w:jc w:val="both"/>
        <w:rPr>
          <w:sz w:val="26"/>
          <w:szCs w:val="26"/>
        </w:rPr>
      </w:pPr>
      <w:bookmarkStart w:id="18" w:name="sub_1031"/>
      <w:r>
        <w:rPr>
          <w:sz w:val="26"/>
          <w:szCs w:val="26"/>
        </w:rPr>
        <w:t>17. Отдел административно-организационной и правовой работы на постоянной основе осуществляет мониторинг исполнения плана мероприятий («дорожной карты») по снижению рисков нарушений антимонопольного законодательства Департамента.</w:t>
      </w:r>
    </w:p>
    <w:bookmarkEnd w:id="18"/>
    <w:p>
      <w:pPr>
        <w:ind w:firstLine="851"/>
        <w:jc w:val="both"/>
        <w:rPr>
          <w:sz w:val="26"/>
          <w:szCs w:val="26"/>
        </w:rPr>
      </w:pPr>
      <w:bookmarkStart w:id="19" w:name="sub_1032"/>
      <w:r>
        <w:rPr>
          <w:sz w:val="26"/>
          <w:szCs w:val="26"/>
        </w:rPr>
        <w:t>18. Информация об исполнении плана мероприятий («дорожной карты») по снижению рисков нарушений антимонопольного законодательства Департамента подлежит включению в доклад об антимонопольном комплаенсе.</w:t>
      </w:r>
    </w:p>
    <w:p>
      <w:pPr>
        <w:ind w:firstLine="851"/>
        <w:jc w:val="both"/>
        <w:rPr>
          <w:sz w:val="26"/>
          <w:szCs w:val="26"/>
        </w:rPr>
      </w:pPr>
    </w:p>
    <w:bookmarkEnd w:id="19"/>
    <w:p>
      <w:pPr>
        <w:pStyle w:val="2"/>
        <w:rPr>
          <w:sz w:val="26"/>
          <w:szCs w:val="26"/>
        </w:rPr>
      </w:pPr>
      <w:bookmarkStart w:id="20" w:name="sub_600"/>
      <w:r>
        <w:rPr>
          <w:sz w:val="26"/>
          <w:szCs w:val="26"/>
        </w:rPr>
        <w:t>V. Ключевые показатели эффективности антимонопольного комплаенса</w:t>
      </w:r>
      <w:bookmarkEnd w:id="20"/>
    </w:p>
    <w:p>
      <w:pPr>
        <w:ind w:firstLine="851"/>
        <w:jc w:val="both"/>
        <w:rPr>
          <w:sz w:val="26"/>
          <w:szCs w:val="26"/>
        </w:rPr>
      </w:pPr>
      <w:bookmarkStart w:id="21" w:name="sub_1034"/>
      <w:r>
        <w:rPr>
          <w:sz w:val="26"/>
          <w:szCs w:val="26"/>
        </w:rPr>
        <w:t>19. Ключевые показатели эффективности антимонопольного комплаенса устанавливаются для отдела административно-организационной и правовой работы, Финансово-экономического управления, Управления социальной поддержки населения, Управления занятости, так и для Департамента в целом.</w:t>
      </w:r>
    </w:p>
    <w:p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20. Ключевые показатели эффективности антимонопольного комплаенса разрабатываются отделом административно-организационной и правовой работы и утверждаются начальником Департамента ежегодно в срок не позднее 1 мая отчетного года.</w:t>
      </w:r>
    </w:p>
    <w:bookmarkEnd w:id="21"/>
    <w:p>
      <w:pPr>
        <w:ind w:firstLine="851"/>
        <w:jc w:val="both"/>
        <w:rPr>
          <w:sz w:val="26"/>
          <w:szCs w:val="26"/>
        </w:rPr>
      </w:pPr>
      <w:bookmarkStart w:id="22" w:name="sub_1035"/>
      <w:r>
        <w:rPr>
          <w:sz w:val="26"/>
          <w:szCs w:val="26"/>
        </w:rPr>
        <w:t>21.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bookmarkEnd w:id="22"/>
    <w:p>
      <w:pPr>
        <w:ind w:firstLine="851"/>
        <w:jc w:val="both"/>
        <w:rPr>
          <w:sz w:val="26"/>
          <w:szCs w:val="26"/>
        </w:rPr>
      </w:pPr>
      <w:bookmarkStart w:id="23" w:name="sub_1037"/>
      <w:r>
        <w:rPr>
          <w:sz w:val="26"/>
          <w:szCs w:val="26"/>
        </w:rPr>
        <w:t>22. Отдел административно-организационной и правовой работы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>
      <w:pPr>
        <w:ind w:firstLine="851"/>
        <w:jc w:val="both"/>
        <w:rPr>
          <w:sz w:val="26"/>
          <w:szCs w:val="26"/>
        </w:rPr>
      </w:pPr>
    </w:p>
    <w:bookmarkEnd w:id="23"/>
    <w:p>
      <w:pPr>
        <w:pStyle w:val="2"/>
        <w:rPr>
          <w:sz w:val="26"/>
          <w:szCs w:val="26"/>
          <w:highlight w:val="red"/>
        </w:rPr>
      </w:pPr>
      <w:bookmarkStart w:id="24" w:name="sub_700"/>
      <w:r>
        <w:rPr>
          <w:sz w:val="26"/>
          <w:szCs w:val="26"/>
        </w:rPr>
        <w:t>VI. Оценка эффективности антимонопольного комплаенса</w:t>
      </w:r>
      <w:bookmarkEnd w:id="24"/>
    </w:p>
    <w:p>
      <w:pPr>
        <w:ind w:firstLine="851"/>
        <w:jc w:val="both"/>
        <w:rPr>
          <w:sz w:val="26"/>
          <w:szCs w:val="26"/>
        </w:rPr>
      </w:pPr>
      <w:bookmarkStart w:id="25" w:name="sub_1038"/>
      <w:r>
        <w:rPr>
          <w:sz w:val="26"/>
          <w:szCs w:val="26"/>
        </w:rPr>
        <w:t>23. Оценка эффективности организации и функционирования в Департаменте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 оценки готовится Заключение, которое подлежит представлению начальнику Департамента не позднее 1 мая года, следующего за отчетным.</w:t>
      </w:r>
    </w:p>
    <w:bookmarkEnd w:id="25"/>
    <w:p>
      <w:pPr>
        <w:ind w:firstLine="851"/>
        <w:jc w:val="both"/>
        <w:rPr>
          <w:sz w:val="26"/>
          <w:szCs w:val="26"/>
        </w:rPr>
      </w:pPr>
      <w:bookmarkStart w:id="26" w:name="sub_1039"/>
      <w:r>
        <w:rPr>
          <w:sz w:val="26"/>
          <w:szCs w:val="26"/>
        </w:rPr>
        <w:t>24.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bookmarkEnd w:id="26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карту рисков нарушения антимонопольного законодательства Департамента, утвержденную начальником Департамента на отчетный период;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ключевые показатели эффективности антимонопольного комплаенса, утвержденные начальником Департамента на отчетный период;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план мероприятий («дорожную карту») по снижению рисков нарушения антимонопольного законодательства Департамента, утвержденную начальником Департамента на отчетный период.</w:t>
      </w:r>
    </w:p>
    <w:p>
      <w:pPr>
        <w:ind w:firstLine="851"/>
        <w:jc w:val="both"/>
        <w:rPr>
          <w:sz w:val="26"/>
          <w:szCs w:val="26"/>
        </w:rPr>
      </w:pPr>
    </w:p>
    <w:p>
      <w:pPr>
        <w:pStyle w:val="2"/>
        <w:rPr>
          <w:sz w:val="26"/>
          <w:szCs w:val="26"/>
        </w:rPr>
      </w:pPr>
      <w:bookmarkStart w:id="27" w:name="sub_800"/>
      <w:r>
        <w:rPr>
          <w:sz w:val="26"/>
          <w:szCs w:val="26"/>
        </w:rPr>
        <w:t>VII. Доклад об антимонопольном комплаенсе</w:t>
      </w:r>
      <w:bookmarkEnd w:id="27"/>
    </w:p>
    <w:p>
      <w:pPr>
        <w:ind w:firstLine="851"/>
        <w:jc w:val="both"/>
        <w:rPr>
          <w:sz w:val="26"/>
          <w:szCs w:val="26"/>
        </w:rPr>
      </w:pPr>
      <w:bookmarkStart w:id="28" w:name="sub_1040"/>
      <w:r>
        <w:rPr>
          <w:sz w:val="26"/>
          <w:szCs w:val="26"/>
        </w:rPr>
        <w:t>25. Проект доклада об антимонопольном комплаенсе представляется отделом административно-организационной и правовой работы на подпись начальнику Департамента не позднее 15 февраля года, следующего за отчетным.</w:t>
      </w:r>
    </w:p>
    <w:bookmarkEnd w:id="28"/>
    <w:p>
      <w:pPr>
        <w:ind w:firstLine="851"/>
        <w:jc w:val="both"/>
        <w:rPr>
          <w:sz w:val="26"/>
          <w:szCs w:val="26"/>
        </w:rPr>
      </w:pPr>
      <w:bookmarkStart w:id="29" w:name="sub_1041"/>
      <w:r>
        <w:rPr>
          <w:sz w:val="26"/>
          <w:szCs w:val="26"/>
        </w:rPr>
        <w:t>26. Проект доклада об антимонопольном комплаенсе подписывается начальником Департамента в срок не позднее 1 марта года, следующего за отчетным.</w:t>
      </w:r>
    </w:p>
    <w:bookmarkEnd w:id="29"/>
    <w:p>
      <w:pPr>
        <w:ind w:firstLine="851"/>
        <w:jc w:val="both"/>
        <w:rPr>
          <w:sz w:val="26"/>
          <w:szCs w:val="26"/>
        </w:rPr>
      </w:pPr>
      <w:bookmarkStart w:id="30" w:name="sub_1042"/>
      <w:r>
        <w:rPr>
          <w:sz w:val="26"/>
          <w:szCs w:val="26"/>
        </w:rPr>
        <w:t>27. Отдел административно-организационной и правовой работы обеспечивает представление подписанного начальником Департамента доклада об антимонопольном комплаенсе в Коллегиальный орган в течение недели с момента его подписания.</w:t>
      </w:r>
    </w:p>
    <w:bookmarkEnd w:id="30"/>
    <w:p>
      <w:pPr>
        <w:ind w:firstLine="851"/>
        <w:jc w:val="both"/>
        <w:rPr>
          <w:sz w:val="26"/>
          <w:szCs w:val="26"/>
        </w:rPr>
      </w:pPr>
      <w:bookmarkStart w:id="31" w:name="sub_1043"/>
      <w:r>
        <w:rPr>
          <w:sz w:val="26"/>
          <w:szCs w:val="26"/>
        </w:rPr>
        <w:t>28. Коллегиальный орган утверждает доклад об антимонопольном комплаенсе в срок не позднее 1 апреля года, следующего за отчетным.</w:t>
      </w:r>
    </w:p>
    <w:bookmarkEnd w:id="31"/>
    <w:p>
      <w:pPr>
        <w:ind w:firstLine="851"/>
        <w:jc w:val="both"/>
        <w:rPr>
          <w:sz w:val="26"/>
          <w:szCs w:val="26"/>
        </w:rPr>
      </w:pPr>
      <w:bookmarkStart w:id="32" w:name="sub_1044"/>
      <w:r>
        <w:rPr>
          <w:sz w:val="26"/>
          <w:szCs w:val="26"/>
        </w:rPr>
        <w:t>29. Доклад об антимонопольном комплаенсе должен содержать:</w:t>
      </w:r>
    </w:p>
    <w:bookmarkEnd w:id="32"/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информацию о результатах проведенной оценки рисков нарушения антимонопольного законодательства;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информацию об исполнении мероприятий по снижению рисков нарушений антимонопольного законодательства;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информацию о достижении ключевых показателей эффективности антимонопольного комплаенса.</w:t>
      </w:r>
    </w:p>
    <w:p>
      <w:pPr>
        <w:ind w:firstLine="851"/>
        <w:jc w:val="both"/>
        <w:rPr>
          <w:sz w:val="26"/>
          <w:szCs w:val="26"/>
        </w:rPr>
      </w:pPr>
      <w:bookmarkStart w:id="33" w:name="sub_1045"/>
      <w:r>
        <w:rPr>
          <w:sz w:val="26"/>
          <w:szCs w:val="26"/>
        </w:rPr>
        <w:t>30. Доклад об антимонопольном комплаенсе, утвержденный Коллегиальным органом, размещается на официальном сайте Чукотского автономного округа в сети «Интернет» в течение месяца с момента его утверждения.</w:t>
      </w:r>
    </w:p>
    <w:bookmarkEnd w:id="33"/>
    <w:p>
      <w:pPr>
        <w:ind w:firstLine="851"/>
        <w:jc w:val="both"/>
        <w:rPr>
          <w:sz w:val="26"/>
          <w:szCs w:val="2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709" w:bottom="1134" w:left="1418" w:header="709" w:footer="709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67"/>
  <w:drawingGridHorizontalSpacing w:val="120"/>
  <w:displayHorizontalDrawingGridEvery w:val="2"/>
  <w:doNotShadeFormData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643"/>
    <w:rsid w:val="001227E5"/>
    <w:rsid w:val="001249C2"/>
    <w:rsid w:val="00126CF6"/>
    <w:rsid w:val="0012764D"/>
    <w:rsid w:val="00130E2F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173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6B22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228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1B93"/>
    <w:rsid w:val="008C5161"/>
    <w:rsid w:val="008C7752"/>
    <w:rsid w:val="008D511D"/>
    <w:rsid w:val="008D58CE"/>
    <w:rsid w:val="008D5F3F"/>
    <w:rsid w:val="008D6F20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363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A79C2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57F8C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2C3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39AE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0C43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A7737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314E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2F36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3BE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3">
    <w:name w:val="heading 2"/>
    <w:basedOn w:val="1"/>
    <w:next w:val="1"/>
    <w:link w:val="42"/>
    <w:qFormat/>
    <w:uiPriority w:val="0"/>
    <w:pPr>
      <w:keepNext/>
      <w:outlineLvl w:val="1"/>
    </w:pPr>
    <w:rPr>
      <w:sz w:val="28"/>
      <w:szCs w:val="20"/>
      <w:lang w:val="zh-CN" w:eastAsia="zh-CN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7"/>
    <w:basedOn w:val="1"/>
    <w:next w:val="1"/>
    <w:link w:val="43"/>
    <w:qFormat/>
    <w:uiPriority w:val="0"/>
    <w:pPr>
      <w:spacing w:before="240" w:after="60"/>
      <w:outlineLvl w:val="6"/>
    </w:pPr>
    <w:rPr>
      <w:lang w:val="zh-CN" w:eastAsia="zh-CN"/>
    </w:rPr>
  </w:style>
  <w:style w:type="paragraph" w:styleId="7">
    <w:name w:val="heading 8"/>
    <w:basedOn w:val="1"/>
    <w:next w:val="1"/>
    <w:link w:val="44"/>
    <w:qFormat/>
    <w:uiPriority w:val="0"/>
    <w:pPr>
      <w:keepNext/>
      <w:outlineLvl w:val="7"/>
    </w:pPr>
    <w:rPr>
      <w:sz w:val="26"/>
      <w:szCs w:val="20"/>
      <w:lang w:val="zh-CN" w:eastAsia="zh-CN"/>
    </w:rPr>
  </w:style>
  <w:style w:type="paragraph" w:styleId="8">
    <w:name w:val="heading 9"/>
    <w:basedOn w:val="1"/>
    <w:next w:val="1"/>
    <w:link w:val="45"/>
    <w:qFormat/>
    <w:uiPriority w:val="0"/>
    <w:pPr>
      <w:keepNext/>
      <w:jc w:val="right"/>
      <w:outlineLvl w:val="8"/>
    </w:pPr>
    <w:rPr>
      <w:sz w:val="26"/>
      <w:lang w:val="zh-CN" w:eastAsia="zh-CN"/>
    </w:rPr>
  </w:style>
  <w:style w:type="character" w:default="1" w:styleId="20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4"/>
    <w:uiPriority w:val="0"/>
    <w:rPr>
      <w:rFonts w:ascii="Tahoma" w:hAnsi="Tahoma"/>
      <w:sz w:val="16"/>
      <w:szCs w:val="16"/>
      <w:lang w:val="zh-CN" w:eastAsia="zh-CN"/>
    </w:rPr>
  </w:style>
  <w:style w:type="paragraph" w:styleId="10">
    <w:name w:val="Body Text Indent 3"/>
    <w:basedOn w:val="1"/>
    <w:link w:val="47"/>
    <w:uiPriority w:val="0"/>
    <w:pPr>
      <w:spacing w:after="120"/>
      <w:ind w:left="283"/>
    </w:pPr>
    <w:rPr>
      <w:sz w:val="16"/>
      <w:szCs w:val="16"/>
      <w:lang w:val="zh-CN" w:eastAsia="zh-CN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12">
    <w:name w:val="annotation text"/>
    <w:basedOn w:val="1"/>
    <w:link w:val="50"/>
    <w:qFormat/>
    <w:uiPriority w:val="0"/>
    <w:rPr>
      <w:sz w:val="20"/>
      <w:szCs w:val="20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header"/>
    <w:basedOn w:val="1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Indent"/>
    <w:basedOn w:val="1"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7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8">
    <w:name w:val="footer"/>
    <w:basedOn w:val="1"/>
    <w:link w:val="46"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styleId="19">
    <w:name w:val="Body Text 3"/>
    <w:basedOn w:val="1"/>
    <w:link w:val="51"/>
    <w:qFormat/>
    <w:uiPriority w:val="0"/>
    <w:pPr>
      <w:spacing w:after="120"/>
    </w:pPr>
    <w:rPr>
      <w:sz w:val="16"/>
      <w:szCs w:val="16"/>
      <w:lang w:val="zh-CN" w:eastAsia="zh-CN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page number"/>
    <w:basedOn w:val="20"/>
    <w:qFormat/>
    <w:uiPriority w:val="0"/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Heading"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26">
    <w:name w:val="Гипертекстовая ссылка"/>
    <w:uiPriority w:val="99"/>
    <w:rPr>
      <w:color w:val="008000"/>
    </w:rPr>
  </w:style>
  <w:style w:type="paragraph" w:customStyle="1" w:styleId="2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Цветовое выделение"/>
    <w:qFormat/>
    <w:uiPriority w:val="99"/>
    <w:rPr>
      <w:b/>
      <w:bCs/>
      <w:color w:val="000080"/>
    </w:rPr>
  </w:style>
  <w:style w:type="paragraph" w:customStyle="1" w:styleId="29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30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/>
    </w:rPr>
  </w:style>
  <w:style w:type="paragraph" w:customStyle="1" w:styleId="3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2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33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35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Не вступил в силу"/>
    <w:uiPriority w:val="0"/>
    <w:rPr>
      <w:color w:val="008080"/>
    </w:rPr>
  </w:style>
  <w:style w:type="paragraph" w:styleId="3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8">
    <w:name w:val="Заголовок 1 Знак"/>
    <w:link w:val="2"/>
    <w:qFormat/>
    <w:uiPriority w:val="0"/>
    <w:rPr>
      <w:b/>
      <w:sz w:val="28"/>
    </w:rPr>
  </w:style>
  <w:style w:type="paragraph" w:customStyle="1" w:styleId="39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0">
    <w:name w:val="Font Style40"/>
    <w:qFormat/>
    <w:uiPriority w:val="0"/>
    <w:rPr>
      <w:rFonts w:hint="default" w:ascii="Times New Roman" w:hAnsi="Times New Roman" w:cs="Times New Roman"/>
      <w:sz w:val="22"/>
      <w:szCs w:val="22"/>
    </w:rPr>
  </w:style>
  <w:style w:type="paragraph" w:customStyle="1" w:styleId="41">
    <w:name w:val="Комментарий"/>
    <w:basedOn w:val="1"/>
    <w:next w:val="1"/>
    <w:qFormat/>
    <w:uiPriority w:val="9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42">
    <w:name w:val="Заголовок 2 Знак"/>
    <w:link w:val="3"/>
    <w:qFormat/>
    <w:uiPriority w:val="0"/>
    <w:rPr>
      <w:sz w:val="28"/>
    </w:rPr>
  </w:style>
  <w:style w:type="character" w:customStyle="1" w:styleId="43">
    <w:name w:val="Заголовок 7 Знак"/>
    <w:link w:val="6"/>
    <w:qFormat/>
    <w:uiPriority w:val="0"/>
    <w:rPr>
      <w:sz w:val="24"/>
      <w:szCs w:val="24"/>
    </w:rPr>
  </w:style>
  <w:style w:type="character" w:customStyle="1" w:styleId="44">
    <w:name w:val="Заголовок 8 Знак"/>
    <w:link w:val="7"/>
    <w:qFormat/>
    <w:uiPriority w:val="0"/>
    <w:rPr>
      <w:sz w:val="26"/>
    </w:rPr>
  </w:style>
  <w:style w:type="character" w:customStyle="1" w:styleId="45">
    <w:name w:val="Заголовок 9 Знак"/>
    <w:link w:val="8"/>
    <w:qFormat/>
    <w:uiPriority w:val="0"/>
    <w:rPr>
      <w:sz w:val="26"/>
      <w:szCs w:val="24"/>
    </w:rPr>
  </w:style>
  <w:style w:type="character" w:customStyle="1" w:styleId="46">
    <w:name w:val="Нижний колонтитул Знак"/>
    <w:link w:val="18"/>
    <w:qFormat/>
    <w:uiPriority w:val="0"/>
    <w:rPr>
      <w:sz w:val="24"/>
      <w:szCs w:val="24"/>
    </w:rPr>
  </w:style>
  <w:style w:type="character" w:customStyle="1" w:styleId="47">
    <w:name w:val="Основной текст с отступом 3 Знак"/>
    <w:link w:val="10"/>
    <w:qFormat/>
    <w:uiPriority w:val="0"/>
    <w:rPr>
      <w:sz w:val="16"/>
      <w:szCs w:val="16"/>
    </w:rPr>
  </w:style>
  <w:style w:type="paragraph" w:customStyle="1" w:styleId="48">
    <w:name w:val="Обычный1"/>
    <w:qFormat/>
    <w:uiPriority w:val="0"/>
    <w:pPr>
      <w:widowControl w:val="0"/>
      <w:spacing w:line="300" w:lineRule="auto"/>
      <w:ind w:firstLine="5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4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50">
    <w:name w:val="Текст примечания Знак"/>
    <w:basedOn w:val="20"/>
    <w:link w:val="12"/>
    <w:uiPriority w:val="0"/>
  </w:style>
  <w:style w:type="character" w:customStyle="1" w:styleId="51">
    <w:name w:val="Основной текст 3 Знак"/>
    <w:link w:val="19"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42EB7-0B0E-418B-A011-9C0E2D5AD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7</Pages>
  <Words>2834</Words>
  <Characters>16154</Characters>
  <Lines>134</Lines>
  <Paragraphs>37</Paragraphs>
  <TotalTime>8</TotalTime>
  <ScaleCrop>false</ScaleCrop>
  <LinksUpToDate>false</LinksUpToDate>
  <CharactersWithSpaces>18951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cp:lastModifiedBy>org4</cp:lastModifiedBy>
  <cp:lastPrinted>2015-10-26T23:56:00Z</cp:lastPrinted>
  <dcterms:modified xsi:type="dcterms:W3CDTF">2020-01-14T00:37:29Z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