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tbl>
      <w:tblPr>
        <w:tblStyle w:val="2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5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>
      <w:pPr>
        <w:pStyle w:val="2"/>
        <w:keepNext w:val="0"/>
        <w:rPr>
          <w:b w:val="0"/>
          <w:szCs w:val="28"/>
          <w:lang w:val="ru-RU"/>
        </w:rPr>
      </w:pPr>
    </w:p>
    <w:p>
      <w:pPr>
        <w:pStyle w:val="2"/>
        <w:keepNext w:val="0"/>
        <w:rPr>
          <w:sz w:val="26"/>
          <w:szCs w:val="26"/>
          <w:lang w:val="ru-RU"/>
        </w:rPr>
      </w:pPr>
      <w:r>
        <w:rPr>
          <w:sz w:val="26"/>
          <w:szCs w:val="26"/>
        </w:rPr>
        <w:t>П Р И К А З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23"/>
        <w:tblW w:w="9692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260"/>
        <w:gridCol w:w="236"/>
        <w:gridCol w:w="608"/>
        <w:gridCol w:w="1126"/>
        <w:gridCol w:w="3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pStyle w:val="1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>
            <w:pPr>
              <w:pStyle w:val="14"/>
              <w:tabs>
                <w:tab w:val="left" w:pos="708"/>
              </w:tabs>
              <w:rPr>
                <w:rFonts w:hint="default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ru-RU"/>
              </w:rPr>
              <w:t>27.11.2020</w:t>
            </w:r>
          </w:p>
        </w:tc>
        <w:tc>
          <w:tcPr>
            <w:tcW w:w="236" w:type="dxa"/>
            <w:vAlign w:val="center"/>
          </w:tcPr>
          <w:p>
            <w:pPr>
              <w:pStyle w:val="14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14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>
            <w:pPr>
              <w:pStyle w:val="14"/>
              <w:tabs>
                <w:tab w:val="left" w:pos="708"/>
              </w:tabs>
              <w:rPr>
                <w:rFonts w:hint="default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ru-RU"/>
              </w:rPr>
              <w:t>1251</w:t>
            </w:r>
          </w:p>
        </w:tc>
        <w:tc>
          <w:tcPr>
            <w:tcW w:w="3858" w:type="dxa"/>
            <w:vAlign w:val="center"/>
          </w:tcPr>
          <w:p>
            <w:pPr>
              <w:pStyle w:val="14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>
      <w:pPr>
        <w:jc w:val="both"/>
        <w:outlineLvl w:val="2"/>
        <w:rPr>
          <w:sz w:val="26"/>
          <w:szCs w:val="26"/>
        </w:rPr>
      </w:pPr>
    </w:p>
    <w:p>
      <w:pPr>
        <w:jc w:val="both"/>
        <w:outlineLvl w:val="2"/>
        <w:rPr>
          <w:sz w:val="26"/>
          <w:szCs w:val="26"/>
        </w:rPr>
      </w:pPr>
    </w:p>
    <w:tbl>
      <w:tblPr>
        <w:tblStyle w:val="2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  <w:gridCol w:w="4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6" w:type="dxa"/>
          </w:tcPr>
          <w:p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 утверждении Программы профилактики нарушений обязательных требований законодательства Российской Федерации в сфере занятости населения и социального обслуживания на 2021 год и плановый период 2022 и 2023 годов</w:t>
            </w:r>
          </w:p>
        </w:tc>
        <w:tc>
          <w:tcPr>
            <w:tcW w:w="4856" w:type="dxa"/>
          </w:tcPr>
          <w:p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>
      <w:pPr>
        <w:jc w:val="both"/>
        <w:outlineLvl w:val="2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0" w:name="sub_1"/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8.2 Федерального закона от 26 декабря 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 1680 «Об 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>
      <w:pPr>
        <w:jc w:val="both"/>
        <w:rPr>
          <w:sz w:val="28"/>
          <w:szCs w:val="28"/>
        </w:rPr>
      </w:pPr>
    </w:p>
    <w:p>
      <w:pPr>
        <w:pStyle w:val="1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>
      <w:pPr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fldChar w:fldCharType="begin"/>
      </w:r>
      <w:r>
        <w:instrText xml:space="preserve"> HYPERLINK \l "sub_15" </w:instrText>
      </w:r>
      <w:r>
        <w:fldChar w:fldCharType="separate"/>
      </w:r>
      <w:r>
        <w:rPr>
          <w:sz w:val="28"/>
          <w:szCs w:val="28"/>
        </w:rPr>
        <w:t>Программу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профилактики нарушений обязательных требований законодательства Российской Федерации в сфере занятости населения и социального обслуживания на 2021 год и плановый период 2022 и 2023 годов согласно приложению к настоящему приказу.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оставляю за собой.</w:t>
      </w:r>
    </w:p>
    <w:p>
      <w:pPr>
        <w:jc w:val="both"/>
        <w:rPr>
          <w:sz w:val="28"/>
          <w:szCs w:val="28"/>
        </w:rPr>
      </w:pPr>
    </w:p>
    <w:bookmarkEnd w:id="0"/>
    <w:p>
      <w:pPr>
        <w:outlineLvl w:val="2"/>
        <w:rPr>
          <w:sz w:val="28"/>
          <w:szCs w:val="28"/>
        </w:rPr>
      </w:pP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8295640</wp:posOffset>
            </wp:positionV>
            <wp:extent cx="4539615" cy="1080135"/>
            <wp:effectExtent l="0" t="0" r="13335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br w:type="page"/>
      </w:r>
    </w:p>
    <w:p>
      <w:bookmarkStart w:id="12" w:name="_GoBack"/>
      <w:bookmarkEnd w:id="12"/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bookmarkStart w:id="1" w:name="sub_100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709"/>
              <w:jc w:val="right"/>
            </w:pPr>
            <w:r>
              <w:t>Приложение</w:t>
            </w:r>
          </w:p>
          <w:p>
            <w:pPr>
              <w:jc w:val="right"/>
            </w:pPr>
            <w:r>
              <w:t>к Приказу Департамента социальной</w:t>
            </w:r>
            <w:r>
              <w:br w:type="textWrapping"/>
            </w:r>
            <w:r>
              <w:t>политики Чукотского автономного округа</w:t>
            </w:r>
            <w:r>
              <w:br w:type="textWrapping"/>
            </w:r>
            <w:r>
              <w:t>от «___»__________ года № _________</w:t>
            </w:r>
          </w:p>
        </w:tc>
      </w:tr>
    </w:tbl>
    <w:p>
      <w:pPr>
        <w:ind w:firstLine="709"/>
        <w:jc w:val="right"/>
      </w:pPr>
    </w:p>
    <w:bookmarkEnd w:id="1"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профилактики нарушений обязательных требований законодательства Российской Федерации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занятости населения и социального обслуживания на 2021 год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плановый период 2022 и 2023годов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bookmarkStart w:id="2" w:name="sub_100"/>
      <w:r>
        <w:rPr>
          <w:b/>
          <w:bCs/>
          <w:sz w:val="28"/>
          <w:szCs w:val="28"/>
        </w:rPr>
        <w:t>1. Общие положения</w:t>
      </w:r>
    </w:p>
    <w:bookmarkEnd w:id="2"/>
    <w:p>
      <w:pPr>
        <w:ind w:firstLine="709"/>
        <w:jc w:val="both"/>
        <w:rPr>
          <w:sz w:val="28"/>
          <w:szCs w:val="28"/>
        </w:rPr>
      </w:pP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нарушений обязательных требований законодательства в сфере занятости населения и социального обслуживания на 2021 год и плановый период 2022 и 2023 годов (далее – Программа) разработана в соответствии со статьёй 8.2 Федерального закона Российской Федерации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реализации постановления Правительства Российской Федерации от 26 декабря 2018 года №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социальной политики Чукотского автономного округа (далее – Департамент) является уполномоченным органом исполнительной власти Чукотского автономного округа по осуществлению: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регионального государственного контроля (надзора) в сфере социального обслуживания;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12.1 пункта 3 статьи 7 Закона Российской Федерации от 19 апреля 1991 года № 1032-1 «О занятости населения в Российской Федерации» (далее – Контроль за обеспечением государственных гарантий в области содействия занятости населения);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надзора и контроля за приёмом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(далее – Контроль за приёмом на работу инвалидов);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надзора и контроля за регистрацией инвалидов в качестве безработных (далее – Контроль за регистрацией инвалидов в качестве безработных).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2020 году контрольно-надзорная деятельность выполнялась уполномоченными должностными лицами Департамента в сферах социального обслуживания и занятости населения в соответствии с Планом проведения плановых проверок юридических лиц и индивидуальных предпринимателей на 2020 год, утверждённым приказом Департамента от31 октября 2019 года № 1326.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 апреля 2020 года № 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приказом Департамента от 27 мая 2020 года № 571 «О внесении изменений в Приказ Департамента социальной политики Чукотского автономного округа от 31 октября 2019 года № 1326» (далее – Приказ Департамента № 571), плановые проверки юридических лиц и индивидуальных предпринимателей Чукотского автономного округа на 2020 год отменены.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государственный контроль (надзор) в сфере социального обслуживания осуществляется Департаментом в соответствии с федеральными нормативными правовыми актами и нормативными правовыми актами Чукотского автономного округа: 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Чукотского автономного округа от 4 июля 2014 года № 326 «Об утверждении Порядка организации осуществления регионального государственного контроля (надзора) в сфере социального обслуживания», 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Чукотского автономного округа от 24 августа 2017 года № 321 «Об органах исполнительной власти Чукотского автономного округа, уполномоченных на осуществление контроля (надзора) за обеспечением доступности для инвалидов объектов социальной, инженерной и транспортной инфраструктур и предоставляемых услуг», 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приказом Департамента от 1 февраля 2017 года № 97 «Об утверждении Административного регламента Департамента социальной политики Чукотского автономного округа по исполнению государственной функции «Региональный государственный контроль (надзор) в сфере социального обслуживания в Чукотском автономном округе».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Задачами регионального государственного контроля (надзора) в сфере социального обслуживания является установление соблюдения подведомственными Департаменту организациями социального обслуживания требований законодательства в части предоставления социальных услуг в форме обслуживания на дому, в стационарной и полустационарной формах, а также обеспечения доступности для инвалидов предоставляемых социальных услуг.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регионального государственного контроля (надзора) в сфере социального обслуживания является:</w:t>
      </w:r>
    </w:p>
    <w:p>
      <w:pPr>
        <w:numPr>
          <w:ilvl w:val="0"/>
          <w:numId w:val="2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деятельности подведомственных Департаменту организаций социального обслуживания объёмам, периодичности, качеству предоставляемых услуг, порядку и условиям их оказания или новым требованиям, установленным действующим законодательством по конкретным видам социальных услуг;</w:t>
      </w:r>
    </w:p>
    <w:p>
      <w:pPr>
        <w:numPr>
          <w:ilvl w:val="0"/>
          <w:numId w:val="2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подведомственными Департаменту организациями социального обслуживания законодательства о социальной защите инвалидов в части создания условий для беспрепятственного доступа инвалидов к объектам инфраструктуры и предоставляемым услугам в сфере социального обслуживания.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Департаментом проведена1 плановая проверка в сфере социального обслуживания. По результатам проведённой проверки нарушений не выявлено.В соответствии с Приказом Департамента № 571 вторая плановая проверка не проводилась.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запланировано проведение 1 плановой проверки в сфере социального обслуживания.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обеспечением государственных гарантий в области содействия занятости населения осуществляется Департаментом в соответствии с Законом Российской Федерации от 19 апреля 1991 года № 1032-1 «О занятости населения в Российской Федерации» (далее – Закон о занятости населения), Приказом Министерства труда и социальной защиты РФ от 11 июля 2013 года № 304н «Об утверждении федерального государственного стандарта государственной функции надзора и контроля за обеспечением государственных гарантий в области содействия занятости населения», Постановлением Правительства Чукотского автономного округа от 28 августа 2009 года № 248 «Об утверждении структуры, предельной штатной численности и Положения о Департаменте социальной политики Чукотского автономного округа» (далее – Постановлением Правительства Чукотского автономного округа № 248), приказом Департамента социальной политики Чукотского автономного округа от 8 июля 2016 года № 1328 «Об утверждении Административного регламента Департамента социальной политики Чукотского автономного округа по исполнению государственной функции «Надзор и контроль за обеспечением государственных гарантий в области содействия занятости населения».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Задачей контроля за обеспечением государственных гарантий в области содействия занятости населения является проверка деятельности Государственного казённого учреждения Чукотского автономного округа «Межрайонный центр занятости населения» (далее – ГКУ ЧАО «МЦЗН») по обеспечению государственных гарантий в области содействия занятости населения, а именно:</w:t>
      </w:r>
    </w:p>
    <w:p>
      <w:pPr>
        <w:numPr>
          <w:ilvl w:val="0"/>
          <w:numId w:val="3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бесплатного содействия в подборе подходящей работы и трудоустройстве при посредничестве органов службы занятости;</w:t>
      </w:r>
    </w:p>
    <w:p>
      <w:pPr>
        <w:numPr>
          <w:ilvl w:val="0"/>
          <w:numId w:val="3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информированию о положении на рынке труда;</w:t>
      </w:r>
    </w:p>
    <w:p>
      <w:pPr>
        <w:numPr>
          <w:ilvl w:val="0"/>
          <w:numId w:val="3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осуществлению мер активной политики занятости населения, включая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контроля за обеспечением государственных гарантий в области содействия занятости населения являются результаты деятельности ГКУ ЧАО «МЦЗН».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2020 года Департаментом проведена 1 внеплановая проверка деятельности ГКУ ЧАО «МЦЗН» по обеспечению государственных гарантий в области содействия занятости населения. По результатам проведённой проверки нарушений не выявлено.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2021 году запланировано проведение 1 плановой проверки деятельности ГКУ ЧАО «МЦЗН» по обеспечению государственных гарантий в области содействия занятости населения.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приёмом на работу инвалидов осуществляется Департаментом в соответствии с Законом о занятости населения, Федеральным законом от 24 ноября 1995 года № 181-ФЗ «О социальной защите инвалидов в Российской Федерации», 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Чукотского автономного округа от 27 декабря 2004 года № 68-ОЗ «О квотировании рабочих мест для инвалидов в Чукотском автономном округе», Приказом Министерства труда и социальной защиты Российской Федерации от 30 апреля 2013 года № 181н «Об утверждении федерального государственного стандарта государственной функции надзора и контроля за приёмом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протоколов», Постановлением Правительства Чукотского автономного округа № 248, приказом Департамента социальной политики Чукотского автономного округа от 8 июля 2016 года № 1330 «Об утверждении Административного регламента Департамента социальной политики Чукотского автономного округа по исполнению государственной функции «Надзор и контроль за приёмом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Задачей контроля за приёмом на работу инвалидов является проверка организаций по соблюдению и выполнению:</w:t>
      </w:r>
    </w:p>
    <w:p>
      <w:pPr>
        <w:numPr>
          <w:ilvl w:val="0"/>
          <w:numId w:val="4"/>
        </w:numPr>
        <w:tabs>
          <w:tab w:val="left" w:pos="0"/>
          <w:tab w:val="clear" w:pos="425"/>
        </w:tabs>
        <w:ind w:left="5" w:firstLine="855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количества созданных или выделенных рабочих мест для трудоустройства инвалидов, в соответствии с установленной квотой для приёма на работу инвалидов требованиям законодательства в области занятости населения и квотирования рабочих мест для приёма на работу инвалидов;</w:t>
      </w:r>
    </w:p>
    <w:p>
      <w:pPr>
        <w:numPr>
          <w:ilvl w:val="0"/>
          <w:numId w:val="4"/>
        </w:numPr>
        <w:tabs>
          <w:tab w:val="left" w:pos="0"/>
          <w:tab w:val="clear" w:pos="425"/>
        </w:tabs>
        <w:ind w:left="5" w:firstLine="855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численности фактически работающих инвалидов расчётному количеству рабочих мест для приёма на работу инвалидов;</w:t>
      </w:r>
    </w:p>
    <w:p>
      <w:pPr>
        <w:numPr>
          <w:ilvl w:val="0"/>
          <w:numId w:val="4"/>
        </w:numPr>
        <w:tabs>
          <w:tab w:val="left" w:pos="0"/>
          <w:tab w:val="clear" w:pos="425"/>
        </w:tabs>
        <w:ind w:left="5"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полноты и достоверности представления работодателем в ГКУ ЧАО «МЦЗН» информации, необходимой для осуществления деятельности по профессиональной реабилитации и содействию занятости инвалидов(информацию о созданных и выделенных рабочих местах для трудоустройства инвалидов в соответствии с установленной квотой для приёма на работу инвалидов, включая информацию о локальных нормативных правовых актах, содержащих сведения о данных рабочих местах), в установленные сроки;</w:t>
      </w:r>
    </w:p>
    <w:p>
      <w:pPr>
        <w:numPr>
          <w:ilvl w:val="0"/>
          <w:numId w:val="4"/>
        </w:numPr>
        <w:tabs>
          <w:tab w:val="left" w:pos="0"/>
          <w:tab w:val="clear" w:pos="425"/>
        </w:tabs>
        <w:ind w:left="5"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полноты и достоверности представления работодателем в ГКУ ЧАО «МЦЗН» информации о выполнении квоты для приёма на работу инвалидов в установленные сроки.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контроля за приёмом на работу инвалидов являются:</w:t>
      </w:r>
    </w:p>
    <w:p>
      <w:pPr>
        <w:numPr>
          <w:ilvl w:val="0"/>
          <w:numId w:val="5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организацией квоты, установленной для приёма на работу инвалидов, и обязанности по созданию или выделению квотируемых рабочих мест;</w:t>
      </w:r>
    </w:p>
    <w:p>
      <w:pPr>
        <w:numPr>
          <w:ilvl w:val="0"/>
          <w:numId w:val="5"/>
        </w:numPr>
        <w:tabs>
          <w:tab w:val="left" w:pos="0"/>
          <w:tab w:val="clear" w:pos="425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работодателями информации о выполнении квоты.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2020 году Департаментом плановые проверки за приёмом на работу инвалидов в пределах установленной квоты не проводились (отменены Приказом Департамента № 571). Внеплановые проверки не проводились.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2021 году запланировано проведение 6 плановых проверок за приёмом на работу инвалидов в пределах установленной квоты.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регистрацией инвалидов в качестве безработных осуществляется Департаментом в соответствии с Законом о занятости населения, Приказом Министерства труда и социальной защиты Российской Федерации от 11 июля 2013 года № 303н «Об утверждении федерального государственного стандарта государственной функции надзора и контроля за регистрацией инвалидов в качестве безработных», Постановлением Правительства Чукотского автономного округа № 248, приказом Департамента социальной политики Чукотского автономного округа 8 июля 2016 года № 1329 «Об утверждении Административного регламента Департамента социальной политики Чукотского автономного округа по исполнению государственной функции «Надзор и контроль за регистрацией инвалидов в качестве безработных».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Задачей контроля за регистрацией инвалидов в качестве безработных является проверка деятельности ГКУ ЧАО «МЦЗН» по регистрации инвалидов в качестве безработных, в том числе: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сроков и порядка регистрации инвалидов в целях поиска подходящей работы;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2) подбор инвалидам подходящей работы с учетом рекомендаций, содержащихся в индивидуальных программах реабилитации, в период до признания инвалидов безработными;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 представленных инвалидами документов документам, необходимым для регистрации их в качестве безработных;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4) полнота и достоверность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обоснованность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r>
        <w:fldChar w:fldCharType="begin"/>
      </w:r>
      <w:r>
        <w:instrText xml:space="preserve"> HYPERLINK "garantF1://10064333.3" </w:instrText>
      </w:r>
      <w:r>
        <w:fldChar w:fldCharType="separate"/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занятости населения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обоснованность и своевременность действий, при рассмотрении вопросов о принятии решений о признании в установленном порядке инвалидов безработными, в соответствии с </w:t>
      </w:r>
      <w:r>
        <w:fldChar w:fldCharType="begin"/>
      </w:r>
      <w:r>
        <w:instrText xml:space="preserve"> HYPERLINK "garantF1://10064333.3" </w:instrText>
      </w:r>
      <w:r>
        <w:fldChar w:fldCharType="separate"/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занятости населения;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7) обоснованность результатов рассмотрения обращений и/или жалоб граждан и организаций.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контроля за регистрацией инвалидов в качестве безработных являются результаты деятельности ГКУ ЧАО «МЦЗН» по регистрации инвалидов в качестве безработных.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2020 года Департаментом проверки деятельности ГКУ ЧАО «МЦЗН» по регистрации инвалидов в качестве безработных не проводились.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86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Профилактика нарушений обязательных требований – это деятельность Департамента социальной политики Чукотского автономного округа по комплексной реализации мер организационного, информационного, правового, социального и иного характера, направленных на достижение следующих целей профилактических мероприятий: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системы контрольно-надзорной деятельности Департамента;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прозрачности и открытости контрольно-надзорной деятельности Департамента;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мотивация к соблюдению подконтрольными субъектами обязательных требований, и как следствие, сокращение нарушений обязательных требований;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подконтрольным субъектам обязательных требований;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единообразной правоприменительной практики при осуществлении контрольно-надзорных мероприятий.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типичных нарушений обязательных требований и подготовка предложений по их профилактике;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2"/>
      </w:pPr>
      <w:bookmarkStart w:id="3" w:name="sub_11"/>
      <w:r>
        <w:t>3. Программные мероприятия</w:t>
      </w:r>
    </w:p>
    <w:bookmarkEnd w:id="3"/>
    <w:p/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предусматривает следующие направления деятельности: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правовое просвещение;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информационно-аналитическую деятельность;</w:t>
      </w:r>
    </w:p>
    <w:p>
      <w:pPr>
        <w:numPr>
          <w:ilvl w:val="0"/>
          <w:numId w:val="6"/>
        </w:numPr>
        <w:tabs>
          <w:tab w:val="left" w:pos="0"/>
          <w:tab w:val="clear" w:pos="420"/>
        </w:tabs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консультационную деятельность.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 и достижения целей Программы предусмотрены следующие программные мероприятия:</w:t>
      </w:r>
      <w:bookmarkStart w:id="4" w:name="sub_5"/>
    </w:p>
    <w:p>
      <w:pPr>
        <w:numPr>
          <w:ilvl w:val="0"/>
          <w:numId w:val="7"/>
        </w:num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официальном сайте Чукотского автономного округа в информационно-телекоммуникационной сети «Интернет», по адресу: </w:t>
      </w:r>
      <w:r>
        <w:fldChar w:fldCharType="begin"/>
      </w:r>
      <w:r>
        <w:instrText xml:space="preserve"> HYPERLINK "http://чукотка.рф/vlast/organy-vlasti/" </w:instrText>
      </w:r>
      <w:r>
        <w:fldChar w:fldCharType="separate"/>
      </w:r>
      <w:r>
        <w:rPr>
          <w:rStyle w:val="21"/>
          <w:sz w:val="28"/>
          <w:szCs w:val="28"/>
        </w:rPr>
        <w:t>http://чукотка.рф/vlast/organy-vlasti/</w:t>
      </w:r>
      <w:r>
        <w:rPr>
          <w:rStyle w:val="21"/>
          <w:sz w:val="28"/>
          <w:szCs w:val="28"/>
        </w:rPr>
        <w:fldChar w:fldCharType="end"/>
      </w:r>
      <w:r>
        <w:rPr>
          <w:sz w:val="28"/>
          <w:szCs w:val="28"/>
        </w:rPr>
        <w:t>на странице Департамента в разделе«Управление социальной поддержки населения/Государственный контроль и надзор в сфере социального обслуживания в Чукотском автономном округе» и разделе«</w:t>
      </w:r>
      <w:r>
        <w:fldChar w:fldCharType="begin"/>
      </w:r>
      <w:r>
        <w:instrText xml:space="preserve"> HYPERLINK "http://chaogov.ru/vlast/organy-vlasti/depsocpol/upravlenie-zanyatosti/" \o "Управление занятости" </w:instrText>
      </w:r>
      <w:r>
        <w:fldChar w:fldCharType="separate"/>
      </w:r>
      <w:r>
        <w:rPr>
          <w:sz w:val="28"/>
          <w:szCs w:val="28"/>
        </w:rPr>
        <w:t>Управление занятости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населения/Контрольно-надзорная деятельность Управления» перечня обязательных требований, оценка соблюдения которых является предметом контрольно-надзорной деятельности Департамента;</w:t>
      </w:r>
    </w:p>
    <w:bookmarkEnd w:id="4"/>
    <w:p>
      <w:pPr>
        <w:ind w:firstLine="860"/>
        <w:jc w:val="both"/>
        <w:rPr>
          <w:sz w:val="28"/>
          <w:szCs w:val="28"/>
        </w:rPr>
      </w:pPr>
      <w:bookmarkStart w:id="5" w:name="sub_6"/>
      <w:r>
        <w:rPr>
          <w:sz w:val="28"/>
          <w:szCs w:val="28"/>
        </w:rPr>
        <w:t xml:space="preserve">2) информирование подведомственных Департаменту организаций социального обслуживания по вопросам соблюдения обязательных требований через официальный сайт Чукотского автономного округа, по адресу: </w:t>
      </w:r>
      <w:r>
        <w:fldChar w:fldCharType="begin"/>
      </w:r>
      <w:r>
        <w:instrText xml:space="preserve"> HYPERLINK "http://чукотка.рф/vlast/organy-vlasti/" </w:instrText>
      </w:r>
      <w:r>
        <w:fldChar w:fldCharType="separate"/>
      </w:r>
      <w:r>
        <w:rPr>
          <w:rStyle w:val="21"/>
          <w:sz w:val="28"/>
          <w:szCs w:val="28"/>
        </w:rPr>
        <w:t>http://чукотка.рф/vlast/organy-vlasti/</w:t>
      </w:r>
      <w:r>
        <w:rPr>
          <w:rStyle w:val="21"/>
          <w:sz w:val="28"/>
          <w:szCs w:val="28"/>
        </w:rPr>
        <w:fldChar w:fldCharType="end"/>
      </w:r>
      <w:r>
        <w:rPr>
          <w:sz w:val="28"/>
          <w:szCs w:val="28"/>
        </w:rPr>
        <w:t>на странице Департамента в разделе «Управление социальной поддержки населения/Государственный контроль и надзор в сфере социального обслуживания в Чукотском автономном округе», а также посредством рассылки информационных писем;</w:t>
      </w:r>
    </w:p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3) информирование и консультирование юридических лиц и индивидуальных предпринимателей по вопросам соблюдения обязательных требований, в том числе организация разъяснительной работы в формате совещаний, семинаров;</w:t>
      </w:r>
    </w:p>
    <w:bookmarkEnd w:id="5"/>
    <w:p>
      <w:pPr>
        <w:ind w:firstLine="860"/>
        <w:jc w:val="both"/>
        <w:rPr>
          <w:sz w:val="28"/>
          <w:szCs w:val="28"/>
        </w:rPr>
      </w:pPr>
      <w:bookmarkStart w:id="6" w:name="sub_7"/>
      <w:r>
        <w:rPr>
          <w:sz w:val="28"/>
          <w:szCs w:val="28"/>
        </w:rPr>
        <w:t>4) предоставление обзоров типовых нарушений обязательных требований с описанием способов их недопущения;</w:t>
      </w:r>
    </w:p>
    <w:bookmarkEnd w:id="6"/>
    <w:p>
      <w:pPr>
        <w:ind w:firstLine="860"/>
        <w:jc w:val="both"/>
        <w:rPr>
          <w:sz w:val="28"/>
          <w:szCs w:val="28"/>
        </w:rPr>
      </w:pPr>
      <w:bookmarkStart w:id="7" w:name="sub_8"/>
      <w:r>
        <w:rPr>
          <w:sz w:val="28"/>
          <w:szCs w:val="28"/>
        </w:rPr>
        <w:t xml:space="preserve">5) обеспечение регулярного (не реже одного раза в год) обобщения практики осуществления Департаментом контрольно-надзорной деятельности, а также размещение на официальном сайте Чукотского автономного округа, по адресу: </w:t>
      </w:r>
      <w:r>
        <w:fldChar w:fldCharType="begin"/>
      </w:r>
      <w:r>
        <w:instrText xml:space="preserve"> HYPERLINK "http://чукотка.рф/vlast/organy-vlasti/" </w:instrText>
      </w:r>
      <w:r>
        <w:fldChar w:fldCharType="separate"/>
      </w:r>
      <w:r>
        <w:rPr>
          <w:rStyle w:val="21"/>
          <w:sz w:val="28"/>
          <w:szCs w:val="28"/>
        </w:rPr>
        <w:t>http://чукотка.рф/vlast/organy-vlasti/</w:t>
      </w:r>
      <w:r>
        <w:rPr>
          <w:rStyle w:val="21"/>
          <w:sz w:val="28"/>
          <w:szCs w:val="28"/>
        </w:rPr>
        <w:fldChar w:fldCharType="end"/>
      </w:r>
      <w:r>
        <w:rPr>
          <w:sz w:val="28"/>
          <w:szCs w:val="28"/>
        </w:rPr>
        <w:t>на странице Департамента в разделе «Управление социальной поддержки населения/Государственный контроль и надзор в сфере социального обслуживания в Чукотском автономном округе» и разделе«</w:t>
      </w:r>
      <w:r>
        <w:fldChar w:fldCharType="begin"/>
      </w:r>
      <w:r>
        <w:instrText xml:space="preserve"> HYPERLINK "http://chaogov.ru/vlast/organy-vlasti/depsocpol/upravlenie-zanyatosti/" \o "Управление занятости" </w:instrText>
      </w:r>
      <w:r>
        <w:fldChar w:fldCharType="separate"/>
      </w:r>
      <w:r>
        <w:rPr>
          <w:sz w:val="28"/>
          <w:szCs w:val="28"/>
        </w:rPr>
        <w:t>Управление занятости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населения/Контрольно-надзорная деятельность Управления»соответствующих обобщений.</w:t>
      </w:r>
    </w:p>
    <w:bookmarkEnd w:id="7"/>
    <w:p>
      <w:pPr>
        <w:ind w:firstLine="860"/>
        <w:jc w:val="both"/>
        <w:rPr>
          <w:sz w:val="28"/>
          <w:szCs w:val="28"/>
        </w:rPr>
      </w:pPr>
      <w:bookmarkStart w:id="8" w:name="sub_9"/>
      <w:r>
        <w:rPr>
          <w:sz w:val="28"/>
          <w:szCs w:val="28"/>
        </w:rPr>
        <w:t>6) подготовка и направление письменных ответов на поступающие письменные обращения и жалобы по вопросам осуществления контрольно-надзорной деятельности.</w:t>
      </w:r>
    </w:p>
    <w:bookmarkEnd w:id="8"/>
    <w:p>
      <w:pPr>
        <w:ind w:firstLine="860"/>
        <w:jc w:val="both"/>
        <w:rPr>
          <w:sz w:val="28"/>
          <w:szCs w:val="28"/>
        </w:rPr>
      </w:pPr>
      <w:bookmarkStart w:id="9" w:name="sub_10"/>
      <w:r>
        <w:rPr>
          <w:sz w:val="28"/>
          <w:szCs w:val="28"/>
        </w:rPr>
        <w:t>7) разработка, подготовка и утверждение Программы на следующий календарный год.</w:t>
      </w:r>
    </w:p>
    <w:bookmarkEnd w:id="9"/>
    <w:p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</w:t>
      </w:r>
      <w:r>
        <w:fldChar w:fldCharType="begin"/>
      </w:r>
      <w:r>
        <w:instrText xml:space="preserve"> HYPERLINK \l "sub_13" </w:instrText>
      </w:r>
      <w:r>
        <w:fldChar w:fldCharType="separate"/>
      </w:r>
      <w:r>
        <w:rPr>
          <w:sz w:val="28"/>
          <w:szCs w:val="28"/>
        </w:rPr>
        <w:t>Планом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на 2021 год.</w:t>
      </w:r>
      <w:r>
        <w:rPr>
          <w:sz w:val="28"/>
          <w:szCs w:val="28"/>
        </w:rPr>
        <w:br w:type="page"/>
      </w:r>
    </w:p>
    <w:p>
      <w:pPr>
        <w:ind w:firstLine="709"/>
        <w:jc w:val="both"/>
        <w:rPr>
          <w:sz w:val="28"/>
          <w:szCs w:val="28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397" w:right="709" w:bottom="1134" w:left="1559" w:header="709" w:footer="709" w:gutter="0"/>
          <w:cols w:space="708" w:num="1"/>
          <w:formProt w:val="0"/>
          <w:docGrid w:linePitch="360" w:charSpace="0"/>
        </w:sectPr>
      </w:pPr>
    </w:p>
    <w:p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4. Отчётные показатели Программы</w:t>
      </w:r>
    </w:p>
    <w:p>
      <w:pPr>
        <w:ind w:firstLine="709"/>
        <w:jc w:val="center"/>
        <w:rPr>
          <w:b/>
          <w:sz w:val="28"/>
          <w:szCs w:val="20"/>
        </w:rPr>
      </w:pPr>
    </w:p>
    <w:tbl>
      <w:tblPr>
        <w:tblStyle w:val="2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419"/>
        <w:gridCol w:w="254"/>
        <w:gridCol w:w="3791"/>
        <w:gridCol w:w="1022"/>
        <w:gridCol w:w="2701"/>
        <w:gridCol w:w="138"/>
        <w:gridCol w:w="1232"/>
        <w:gridCol w:w="31"/>
        <w:gridCol w:w="134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расчёта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 (2021 год)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 (2022 год)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 (2023 год)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7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Региональный государственный контроль (надзор) в сфере социального обслуживания в Чукотском автономном округе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проведённых профилактических мероприятий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учитывает суммарное количество проведённых профилактических мероприятий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поставщиков социальных услуг, в отношении которых проведены профилактические мероприятия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2346325" cy="189865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3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741680" cy="189865"/>
                  <wp:effectExtent l="0" t="0" r="1270" b="6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–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поставщиков социальных услуг, в отношении которых проведены профилактические мероприятия;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414020" cy="189865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– общее количество поставщиков социальных услуг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обоснованных жалоб получателей социальных услуг на качество их предоставления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501140" cy="18986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414020" cy="189865"/>
                  <wp:effectExtent l="0" t="0" r="508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– количество обоснованных жалоб;</w:t>
            </w:r>
          </w:p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215900" cy="1898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– количество жалоб всего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Контроль за приёмом на работу инвалидов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проведённых профилактических мероприятий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учитывает суммарное количество проведённых профилактических мероприятий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работодателей, проверенных за отчётный период, выполняющих обязательные требования, %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Контроль за обеспечением государственных гарантий в области содействия занятости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проведённых профилактических мероприятий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учитывает суммарное количество проведённых профилактических мероприятий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работодателей, проверенных за отчётный период, выполняющих обязательные требования, %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Контроль за регистрацией инвалидов в качестве безработных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проведённых профилактических мероприятий</w:t>
            </w:r>
          </w:p>
        </w:tc>
        <w:tc>
          <w:tcPr>
            <w:tcW w:w="5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учитывает суммарное количество проведённых профилактических мероприятий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работодателей, проверенных за отчётный период, выполняющих обязательные требования, %</w:t>
            </w:r>
          </w:p>
        </w:tc>
        <w:tc>
          <w:tcPr>
            <w:tcW w:w="5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>
      <w:pPr>
        <w:pStyle w:val="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jc w:val="right"/>
        <w:rPr>
          <w:rStyle w:val="26"/>
          <w:color w:val="auto"/>
          <w:sz w:val="22"/>
          <w:szCs w:val="22"/>
        </w:rPr>
      </w:pPr>
      <w:bookmarkStart w:id="10" w:name="sub_13"/>
      <w:r>
        <w:rPr>
          <w:rStyle w:val="26"/>
          <w:color w:val="auto"/>
          <w:sz w:val="22"/>
          <w:szCs w:val="22"/>
        </w:rPr>
        <w:t>Приложение № 1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к Программе профилактики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нарушений обязательных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требований законодательства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Российской Федерации в сфере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занятости и социального обслуживания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на 2021 год и плановый период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на 2022 – 2023 годы</w:t>
      </w:r>
    </w:p>
    <w:bookmarkEnd w:id="10"/>
    <w:p/>
    <w:p>
      <w:pPr>
        <w:pStyle w:val="2"/>
      </w:pPr>
      <w:r>
        <w:t>План</w:t>
      </w:r>
      <w:r>
        <w:br w:type="textWrapping"/>
      </w:r>
      <w:r>
        <w:t>профилактических мероприятий, направленных на предупреждение нарушений обязательных требований на 2021 год</w:t>
      </w:r>
    </w:p>
    <w:p/>
    <w:tbl>
      <w:tblPr>
        <w:tblStyle w:val="2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961"/>
        <w:gridCol w:w="267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</w:t>
            </w:r>
          </w:p>
          <w:p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исполнения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Ответственные лица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Управление социальной поддержки населения (далее - УСПН)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 «Управление социальной поддержки населения/Государственный контроль и надзор в сфере социального обслуживания в Чукотском автономном округе» следующих документов:</w:t>
            </w:r>
          </w:p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нормативных правовых актов, регулирующих организацию и осуществление государственной функции: «Региональный государственный контроль (надзор) в сфере социального обслуживания в Чукотском автономном округе»;</w:t>
            </w:r>
          </w:p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планов проведения плановых проверок юридических лиц и индивидуальных предпринимателей Департамента (далее – поставщики социальных услуг);</w:t>
            </w:r>
          </w:p>
          <w:p>
            <w:pPr>
              <w:jc w:val="both"/>
            </w:pPr>
            <w:r>
              <w:t>3) результатов проведения плановых проверок поставщиков социальных услуг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актуализации нормативных правовых актов, принятия новых нормативных правовых актов, не позднее 10 дней с даты окончания проверочных мероприятий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и консультирование поставщиков социальных услуг по вопросам соблюдения обязательных требований, в том числе посредством проведения разъяснительной работы в формате совещаний, семинаров, публикации сведений в средствах массовой информации и иными способами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регулярного (не реже одного раза в год) обобщения практики осуществления Департаментом регионального государственного контроля (надзора) в сфере социального обслуживания.</w:t>
            </w:r>
          </w:p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разделе«Управление социальной поддержки населения/Государственный контроль и надзор в сфере социального обслуживания в Чукотском автономном округе»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поставщиками социальных услуг в целях недопущения таких нарушений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t>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в сфере социального обслуживания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направление поставщикам социальных услуг предостережений о недопустимости нарушений обязательных требований в соответствии с частями 5-7 статьи 8.2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внесения информации о проводимых проверках в сфере социального обслуживания и их результатах в Федеральную государственную информационную систему «Единый реестр проверок»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 окончании проверки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контроля (надзора).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информации (доклад) об итогах профилактической работы за 2021 год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 года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подготовка и утверждение программы профилактики нарушений обязательных требований на 2022 год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декабря 2021 года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Управление занятости населения (далее - УЗН)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разделе«</w:t>
            </w:r>
            <w:r>
              <w:fldChar w:fldCharType="begin"/>
            </w:r>
            <w:r>
              <w:instrText xml:space="preserve"> HYPERLINK "http://chaogov.ru/vlast/organy-vlasti/depsocpol/upravlenie-zanyatosti/" \o "Управление занятости"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t>Управление занятости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населения/Контрольно-надзорная деятельность Управления» перечня обязательных требований, оценка соблюдения которых является предметом контрольно-надзорной деятельности Департамента;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</w:pPr>
            <w:r>
              <w:rPr>
                <w:rFonts w:ascii="Times New Roman" w:hAnsi="Times New Roman"/>
              </w:rPr>
              <w:t>Информирование и консультирование юридических лиц и индивидуальных предпринимателей по вопросам соблюдения обязательных требований, в том числе организация разъяснительной работы в формате совещаний, семинаров с юридическими лицами и индивидуальными предпринимателями по вопросам соблюдения обязательных требований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</w:pPr>
            <w:r>
              <w:rPr>
                <w:rFonts w:ascii="Times New Roman" w:hAnsi="Times New Roman"/>
              </w:rPr>
              <w:t>УЗН, 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регулярного (не реже одного раза в год) обобщения практики осуществления Департаментом контрольно-надзорной деятельности. 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разделе«</w:t>
            </w:r>
            <w:r>
              <w:fldChar w:fldCharType="begin"/>
            </w:r>
            <w:r>
              <w:instrText xml:space="preserve"> HYPERLINK "http://chaogov.ru/vlast/organy-vlasti/depsocpol/upravlenie-zanyatosti/" \o "Управление занятости"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t>Управление занятости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населения/Контрольно-надзорная деятельность Управления» соответствующих обобщений.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направление юридическим лицам и индивидуальным предпринимателям предостережений о недопустимости нарушения обязательных требований в соответствии со статьёй 8.2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УЗН,</w:t>
            </w:r>
          </w:p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руководств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t>УЗН, 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действующего законодательства в части изменений обязательных требований, 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УЗН, 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информации о проводимых проверках и их результатах во ФГИС «Единый реестр проверок»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после окончания проверки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подготовка и утверждение программы профилактики нарушений обязательных требований на 2022 год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декабря 2021 года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</w:tbl>
    <w:p>
      <w:r>
        <w:br w:type="page"/>
      </w:r>
    </w:p>
    <w:p>
      <w:pPr>
        <w:jc w:val="right"/>
        <w:rPr>
          <w:rStyle w:val="26"/>
          <w:color w:val="auto"/>
          <w:sz w:val="22"/>
          <w:szCs w:val="22"/>
        </w:rPr>
      </w:pPr>
      <w:bookmarkStart w:id="11" w:name="sub_14"/>
      <w:r>
        <w:rPr>
          <w:rStyle w:val="26"/>
          <w:color w:val="auto"/>
          <w:sz w:val="22"/>
          <w:szCs w:val="22"/>
        </w:rPr>
        <w:t>Приложение № 2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к Программе профилактики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нарушений обязательных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требований законодательства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Российской Федерации в сфере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занятости и социального обслуживания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на 2020 год и плановый период</w:t>
      </w:r>
      <w:r>
        <w:rPr>
          <w:rStyle w:val="26"/>
          <w:color w:val="auto"/>
          <w:sz w:val="22"/>
          <w:szCs w:val="22"/>
        </w:rPr>
        <w:br w:type="textWrapping"/>
      </w:r>
      <w:r>
        <w:rPr>
          <w:rStyle w:val="26"/>
          <w:color w:val="auto"/>
          <w:sz w:val="22"/>
          <w:szCs w:val="22"/>
        </w:rPr>
        <w:t>на 2021 - 2022 годы</w:t>
      </w:r>
    </w:p>
    <w:bookmarkEnd w:id="11"/>
    <w:p/>
    <w:p>
      <w:pPr>
        <w:pStyle w:val="2"/>
      </w:pPr>
      <w:r>
        <w:t>Проект плана</w:t>
      </w:r>
      <w:r>
        <w:br w:type="textWrapping"/>
      </w:r>
      <w:r>
        <w:t>профилактических мероприятий, направленных на предупреждение нарушений обязательных требований на плановый период 2022 - 2023 годов</w:t>
      </w:r>
    </w:p>
    <w:p/>
    <w:tbl>
      <w:tblPr>
        <w:tblStyle w:val="2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09"/>
        <w:gridCol w:w="2576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разделе«Управление социальной поддержки населения/Государственный контроль и надзор в сфере социального обслуживания в Чукотском автономном округе» следующих документов:</w:t>
            </w:r>
          </w:p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нормативных правовых актов, регулирующих организацию и осуществление государственной функции: «Региональный государственный контроль (надзор) в сфере социального обслуживания в Чукотском автономном округе»;</w:t>
            </w:r>
          </w:p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планов проведения плановых проверок юридических лиц и индивидуальных предпринимателей Департамента (далее – поставщики социальных услуг);</w:t>
            </w:r>
          </w:p>
          <w:p>
            <w:pPr>
              <w:jc w:val="both"/>
            </w:pPr>
            <w:r>
              <w:t>3) результатов проведения плановых проверок поставщиков социальных услуг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актуализации нормативных правовых актов, принятия новых нормативных правовых актов, не позднее 10 дней с даты окончания проверочных мероприятий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и консультирование поставщиков социальных услуг по вопросам соблюдения обязательных требований, в том числе посредством проведения разъяснительной работыв формате совещаний, семинаров, публикации сведений в средствах массовой информации и иными способами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регулярного (не реже одного раза в год) обобщения практики осуществления Департаментом регионального государственного контроля (надзора) в сфере социального обслуживания;</w:t>
            </w:r>
          </w:p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разделе«Управление социальной поддержки населения/Государственный контроль и надзор в сфере социального обслуживания в Чукотском автономном округе»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поставщиками социальных услуг в целях недопущения таких нарушений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в сфере социального обслуживания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направление поставщикам социальных услуг предостережений о недопустимости нарушений обязательных требований в соответствии с частями 5-7 статьи 8.2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внесения информации о проводимых проверках в сфере социального обслуживания и их результатах в Федеральную государственную информационную систему «Единый реестр проверок»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 окончании проверки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контроля (надзора).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информации (доклад) об итогах профилактической работы за год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текущего года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подготовка и утверждение программы профилактики нарушений обязательных требований на следующий год.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декабря текущего года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УСПН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УЗН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разделе«</w:t>
            </w:r>
            <w:r>
              <w:fldChar w:fldCharType="begin"/>
            </w:r>
            <w:r>
              <w:instrText xml:space="preserve"> HYPERLINK "http://chaogov.ru/vlast/organy-vlasti/depsocpol/upravlenie-zanyatosti/" \o "Управление занятости"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t>Управление занятости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населения/Контрольно-надзорная деятельность Управления» перечня обязательных требований, оценка соблюдения которых является предметом контрольно-надзорной деятельности Департамента;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</w:pPr>
            <w:r>
              <w:rPr>
                <w:rFonts w:ascii="Times New Roman" w:hAnsi="Times New Roman"/>
              </w:rPr>
              <w:t>Информирование и консультирование юридических лиц и индивидуальных предпринимателей по вопросам соблюдения обязательных требований, в том числе организация разъяснительной работы в формате совещаний, семинаров с юридическими лицами и индивидуальными предпринимателями по вопросам соблюдения обязательных требований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</w:pPr>
            <w:r>
              <w:rPr>
                <w:rFonts w:ascii="Times New Roman" w:hAnsi="Times New Roman"/>
              </w:rPr>
              <w:t>УЗН, 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регулярного (не реже одного раза в год) обобщения практики осуществления Департаментом контрольно-надзорной деятельности. Размещение на официальном сайте Чукотского автономного округа в информационно-телекоммуникационной сети «Интернет», по адресу: </w:t>
            </w:r>
            <w:r>
              <w:fldChar w:fldCharType="begin"/>
            </w:r>
            <w:r>
              <w:instrText xml:space="preserve"> HYPERLINK "http://чукотка.рф/vlast/organy-vlasti/"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/>
              </w:rPr>
              <w:t>http://чукотка.рф/vlast/organy-vlasti/</w:t>
            </w:r>
            <w:r>
              <w:rPr>
                <w:rStyle w:val="21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странице Департамента в разделе«</w:t>
            </w:r>
            <w:r>
              <w:fldChar w:fldCharType="begin"/>
            </w:r>
            <w:r>
              <w:instrText xml:space="preserve"> HYPERLINK "http://chaogov.ru/vlast/organy-vlasti/depsocpol/upravlenie-zanyatosti/" \o "Управление занятости"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t>Управление занятости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населения/Контрольно-надзорная деятельность Управления» соответствующих обобщений.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направление юридическим лицам и индивидуальным предпринимателям предостережений о недопустимости нарушения обязательных требований в соответствии со статьёй 8.2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УЗН,</w:t>
            </w:r>
          </w:p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руководств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УЗН, 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действующего законодательства в части изменений обязательных требований, 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УЗН, ГКУ ЧАО «МЦЗН»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информации о проводимых проверках и их результатах во ФГИС «Единый реестр проверок»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 окончании проверки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подготовка и утверждение программы профилактики нарушений обязательных требований на следующий год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декабря текущего года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</w:t>
            </w:r>
          </w:p>
        </w:tc>
      </w:tr>
    </w:tbl>
    <w:p/>
    <w:p>
      <w:pPr>
        <w:ind w:firstLine="709"/>
        <w:jc w:val="both"/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6838" w:h="11906" w:orient="landscape"/>
      <w:pgMar w:top="1418" w:right="567" w:bottom="709" w:left="1134" w:header="709" w:footer="709" w:gutter="0"/>
      <w:cols w:space="708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25A91"/>
    <w:multiLevelType w:val="singleLevel"/>
    <w:tmpl w:val="82325A91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DF12974"/>
    <w:multiLevelType w:val="singleLevel"/>
    <w:tmpl w:val="CDF12974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hint="default" w:ascii="Arial" w:hAnsi="Arial" w:cs="Arial"/>
      </w:rPr>
    </w:lvl>
  </w:abstractNum>
  <w:abstractNum w:abstractNumId="2">
    <w:nsid w:val="CF547B3D"/>
    <w:multiLevelType w:val="singleLevel"/>
    <w:tmpl w:val="CF547B3D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FC74C067"/>
    <w:multiLevelType w:val="singleLevel"/>
    <w:tmpl w:val="FC74C06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100AA887"/>
    <w:multiLevelType w:val="singleLevel"/>
    <w:tmpl w:val="100AA887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37A72438"/>
    <w:multiLevelType w:val="singleLevel"/>
    <w:tmpl w:val="37A72438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73A247E"/>
    <w:multiLevelType w:val="singleLevel"/>
    <w:tmpl w:val="573A247E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567"/>
  <w:drawingGridHorizontalSpacing w:val="120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72A27"/>
    <w:rsid w:val="000003E5"/>
    <w:rsid w:val="0000090B"/>
    <w:rsid w:val="00001263"/>
    <w:rsid w:val="00002F1E"/>
    <w:rsid w:val="00003429"/>
    <w:rsid w:val="00005B0D"/>
    <w:rsid w:val="00006465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2608D"/>
    <w:rsid w:val="000306BD"/>
    <w:rsid w:val="00031C83"/>
    <w:rsid w:val="00033E8A"/>
    <w:rsid w:val="00035B97"/>
    <w:rsid w:val="00041B1C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2A27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1CDE"/>
    <w:rsid w:val="002D4340"/>
    <w:rsid w:val="002D521D"/>
    <w:rsid w:val="002D561C"/>
    <w:rsid w:val="002D5BB9"/>
    <w:rsid w:val="002E16A0"/>
    <w:rsid w:val="002E439B"/>
    <w:rsid w:val="002E6FF6"/>
    <w:rsid w:val="002E7D97"/>
    <w:rsid w:val="002F053B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6A1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1B3A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47BC8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2D44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12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0DE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462E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4FBC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4A10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6EDE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7A3"/>
    <w:rsid w:val="00754DB0"/>
    <w:rsid w:val="0076101E"/>
    <w:rsid w:val="007613D7"/>
    <w:rsid w:val="00761B5A"/>
    <w:rsid w:val="007628EA"/>
    <w:rsid w:val="00762C67"/>
    <w:rsid w:val="00762D5B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BF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366"/>
    <w:rsid w:val="007C1DAC"/>
    <w:rsid w:val="007C1DCC"/>
    <w:rsid w:val="007C3968"/>
    <w:rsid w:val="007C3AA4"/>
    <w:rsid w:val="007C5C50"/>
    <w:rsid w:val="007C63CB"/>
    <w:rsid w:val="007C6796"/>
    <w:rsid w:val="007C68F6"/>
    <w:rsid w:val="007D0106"/>
    <w:rsid w:val="007D15D0"/>
    <w:rsid w:val="007D1A06"/>
    <w:rsid w:val="007D1A31"/>
    <w:rsid w:val="007D1EC8"/>
    <w:rsid w:val="007D7869"/>
    <w:rsid w:val="007E2892"/>
    <w:rsid w:val="007E4E36"/>
    <w:rsid w:val="007E53E0"/>
    <w:rsid w:val="007E5905"/>
    <w:rsid w:val="007E77B3"/>
    <w:rsid w:val="007F007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73951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5F2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8E76C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534D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3F70"/>
    <w:rsid w:val="00BD696C"/>
    <w:rsid w:val="00BE137D"/>
    <w:rsid w:val="00BE45FA"/>
    <w:rsid w:val="00BE797F"/>
    <w:rsid w:val="00BF01E1"/>
    <w:rsid w:val="00BF0F3B"/>
    <w:rsid w:val="00BF1305"/>
    <w:rsid w:val="00BF47E2"/>
    <w:rsid w:val="00BF4AD1"/>
    <w:rsid w:val="00BF4E9C"/>
    <w:rsid w:val="00BF58B6"/>
    <w:rsid w:val="00C012FB"/>
    <w:rsid w:val="00C02B79"/>
    <w:rsid w:val="00C02CE3"/>
    <w:rsid w:val="00C03590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17B6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AAA"/>
    <w:rsid w:val="00C61E49"/>
    <w:rsid w:val="00C62189"/>
    <w:rsid w:val="00C67D8A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0048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4F3B"/>
    <w:rsid w:val="00CC6208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169F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3145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87B3A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27D7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C2D"/>
    <w:rsid w:val="00DF1D5A"/>
    <w:rsid w:val="00DF202B"/>
    <w:rsid w:val="00DF3061"/>
    <w:rsid w:val="00DF4231"/>
    <w:rsid w:val="00DF5218"/>
    <w:rsid w:val="00DF737D"/>
    <w:rsid w:val="00E0021E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11B7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66E5E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48A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69B9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1A0E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4E9D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  <w:rsid w:val="02C61F8F"/>
    <w:rsid w:val="094326E2"/>
    <w:rsid w:val="1EB0094A"/>
    <w:rsid w:val="21163E9D"/>
    <w:rsid w:val="25642966"/>
    <w:rsid w:val="2610745D"/>
    <w:rsid w:val="2F000918"/>
    <w:rsid w:val="337631E7"/>
    <w:rsid w:val="371325E9"/>
    <w:rsid w:val="395D15F3"/>
    <w:rsid w:val="3BBA1E36"/>
    <w:rsid w:val="3C10637E"/>
    <w:rsid w:val="46AD0B34"/>
    <w:rsid w:val="536A10F4"/>
    <w:rsid w:val="5775439A"/>
    <w:rsid w:val="59CB6CB5"/>
    <w:rsid w:val="5E12187E"/>
    <w:rsid w:val="61DF1E77"/>
    <w:rsid w:val="64590618"/>
    <w:rsid w:val="6BC539F3"/>
    <w:rsid w:val="71300D85"/>
    <w:rsid w:val="732420FF"/>
    <w:rsid w:val="73E50A0A"/>
    <w:rsid w:val="7EED608D"/>
    <w:rsid w:val="7FFD2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42"/>
    <w:qFormat/>
    <w:uiPriority w:val="0"/>
    <w:pPr>
      <w:keepNext/>
      <w:outlineLvl w:val="1"/>
    </w:pPr>
    <w:rPr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7"/>
    <w:basedOn w:val="1"/>
    <w:next w:val="1"/>
    <w:link w:val="43"/>
    <w:qFormat/>
    <w:uiPriority w:val="0"/>
    <w:pPr>
      <w:spacing w:before="240" w:after="60"/>
      <w:outlineLvl w:val="6"/>
    </w:pPr>
  </w:style>
  <w:style w:type="paragraph" w:styleId="7">
    <w:name w:val="heading 8"/>
    <w:basedOn w:val="1"/>
    <w:next w:val="1"/>
    <w:link w:val="44"/>
    <w:qFormat/>
    <w:uiPriority w:val="0"/>
    <w:pPr>
      <w:keepNext/>
      <w:outlineLvl w:val="7"/>
    </w:pPr>
    <w:rPr>
      <w:sz w:val="26"/>
      <w:szCs w:val="20"/>
    </w:rPr>
  </w:style>
  <w:style w:type="paragraph" w:styleId="8">
    <w:name w:val="heading 9"/>
    <w:basedOn w:val="1"/>
    <w:next w:val="1"/>
    <w:link w:val="45"/>
    <w:qFormat/>
    <w:uiPriority w:val="0"/>
    <w:pPr>
      <w:keepNext/>
      <w:jc w:val="right"/>
      <w:outlineLvl w:val="8"/>
    </w:pPr>
    <w:rPr>
      <w:sz w:val="26"/>
    </w:rPr>
  </w:style>
  <w:style w:type="character" w:default="1" w:styleId="20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4"/>
    <w:qFormat/>
    <w:uiPriority w:val="0"/>
    <w:rPr>
      <w:rFonts w:ascii="Tahoma" w:hAnsi="Tahoma"/>
      <w:sz w:val="16"/>
      <w:szCs w:val="16"/>
    </w:rPr>
  </w:style>
  <w:style w:type="paragraph" w:styleId="10">
    <w:name w:val="Body Text Indent 3"/>
    <w:basedOn w:val="1"/>
    <w:link w:val="47"/>
    <w:qFormat/>
    <w:uiPriority w:val="0"/>
    <w:pPr>
      <w:spacing w:after="120"/>
      <w:ind w:left="283"/>
    </w:pPr>
    <w:rPr>
      <w:sz w:val="16"/>
      <w:szCs w:val="16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sz w:val="28"/>
      <w:szCs w:val="20"/>
    </w:rPr>
  </w:style>
  <w:style w:type="paragraph" w:styleId="12">
    <w:name w:val="annotation text"/>
    <w:basedOn w:val="1"/>
    <w:link w:val="50"/>
    <w:qFormat/>
    <w:uiPriority w:val="0"/>
    <w:rPr>
      <w:sz w:val="20"/>
      <w:szCs w:val="20"/>
    </w:rPr>
  </w:style>
  <w:style w:type="paragraph" w:styleId="13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Indent"/>
    <w:basedOn w:val="1"/>
    <w:qFormat/>
    <w:uiPriority w:val="0"/>
    <w:pPr>
      <w:spacing w:line="360" w:lineRule="auto"/>
      <w:ind w:firstLine="630"/>
      <w:jc w:val="both"/>
      <w:outlineLvl w:val="2"/>
    </w:pPr>
    <w:rPr>
      <w:szCs w:val="22"/>
    </w:rPr>
  </w:style>
  <w:style w:type="paragraph" w:styleId="17">
    <w:name w:val="Title"/>
    <w:basedOn w:val="1"/>
    <w:qFormat/>
    <w:uiPriority w:val="0"/>
    <w:pPr>
      <w:jc w:val="center"/>
    </w:pPr>
    <w:rPr>
      <w:sz w:val="28"/>
      <w:szCs w:val="20"/>
    </w:rPr>
  </w:style>
  <w:style w:type="paragraph" w:styleId="18">
    <w:name w:val="footer"/>
    <w:basedOn w:val="1"/>
    <w:link w:val="46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3"/>
    <w:basedOn w:val="1"/>
    <w:link w:val="51"/>
    <w:qFormat/>
    <w:uiPriority w:val="0"/>
    <w:pPr>
      <w:spacing w:after="120"/>
    </w:pPr>
    <w:rPr>
      <w:sz w:val="16"/>
      <w:szCs w:val="16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page number"/>
    <w:basedOn w:val="20"/>
    <w:qFormat/>
    <w:uiPriority w:val="0"/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Heading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character" w:customStyle="1" w:styleId="26">
    <w:name w:val="Гипертекстовая ссылка"/>
    <w:qFormat/>
    <w:uiPriority w:val="99"/>
    <w:rPr>
      <w:color w:val="008000"/>
    </w:rPr>
  </w:style>
  <w:style w:type="paragraph" w:customStyle="1" w:styleId="2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8">
    <w:name w:val="Цветовое выделение"/>
    <w:qFormat/>
    <w:uiPriority w:val="99"/>
    <w:rPr>
      <w:b/>
      <w:bCs/>
      <w:color w:val="000080"/>
    </w:rPr>
  </w:style>
  <w:style w:type="paragraph" w:customStyle="1" w:styleId="29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30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/>
    </w:rPr>
  </w:style>
  <w:style w:type="paragraph" w:customStyle="1" w:styleId="3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ConsPlusCel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Текст выноски Знак"/>
    <w:link w:val="9"/>
    <w:qFormat/>
    <w:uiPriority w:val="0"/>
    <w:rPr>
      <w:rFonts w:ascii="Tahoma" w:hAnsi="Tahoma" w:cs="Tahoma"/>
      <w:sz w:val="16"/>
      <w:szCs w:val="16"/>
    </w:rPr>
  </w:style>
  <w:style w:type="paragraph" w:customStyle="1" w:styleId="35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6">
    <w:name w:val="Не вступил в силу"/>
    <w:qFormat/>
    <w:uiPriority w:val="0"/>
    <w:rPr>
      <w:color w:val="008080"/>
    </w:rPr>
  </w:style>
  <w:style w:type="paragraph" w:styleId="3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8">
    <w:name w:val="Заголовок 1 Знак"/>
    <w:link w:val="2"/>
    <w:qFormat/>
    <w:uiPriority w:val="0"/>
    <w:rPr>
      <w:b/>
      <w:sz w:val="28"/>
    </w:rPr>
  </w:style>
  <w:style w:type="paragraph" w:customStyle="1" w:styleId="3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0">
    <w:name w:val="Font Style40"/>
    <w:qFormat/>
    <w:uiPriority w:val="0"/>
    <w:rPr>
      <w:rFonts w:hint="default" w:ascii="Times New Roman" w:hAnsi="Times New Roman" w:cs="Times New Roman"/>
      <w:sz w:val="22"/>
      <w:szCs w:val="22"/>
    </w:rPr>
  </w:style>
  <w:style w:type="paragraph" w:customStyle="1" w:styleId="41">
    <w:name w:val="Комментарий"/>
    <w:basedOn w:val="1"/>
    <w:next w:val="1"/>
    <w:qFormat/>
    <w:uiPriority w:val="9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42">
    <w:name w:val="Заголовок 2 Знак"/>
    <w:link w:val="3"/>
    <w:qFormat/>
    <w:uiPriority w:val="0"/>
    <w:rPr>
      <w:sz w:val="28"/>
    </w:rPr>
  </w:style>
  <w:style w:type="character" w:customStyle="1" w:styleId="43">
    <w:name w:val="Заголовок 7 Знак"/>
    <w:link w:val="6"/>
    <w:qFormat/>
    <w:uiPriority w:val="0"/>
    <w:rPr>
      <w:sz w:val="24"/>
      <w:szCs w:val="24"/>
    </w:rPr>
  </w:style>
  <w:style w:type="character" w:customStyle="1" w:styleId="44">
    <w:name w:val="Заголовок 8 Знак"/>
    <w:link w:val="7"/>
    <w:qFormat/>
    <w:uiPriority w:val="0"/>
    <w:rPr>
      <w:sz w:val="26"/>
    </w:rPr>
  </w:style>
  <w:style w:type="character" w:customStyle="1" w:styleId="45">
    <w:name w:val="Заголовок 9 Знак"/>
    <w:link w:val="8"/>
    <w:qFormat/>
    <w:uiPriority w:val="0"/>
    <w:rPr>
      <w:sz w:val="26"/>
      <w:szCs w:val="24"/>
    </w:rPr>
  </w:style>
  <w:style w:type="character" w:customStyle="1" w:styleId="46">
    <w:name w:val="Нижний колонтитул Знак"/>
    <w:link w:val="18"/>
    <w:qFormat/>
    <w:uiPriority w:val="0"/>
    <w:rPr>
      <w:sz w:val="24"/>
      <w:szCs w:val="24"/>
    </w:rPr>
  </w:style>
  <w:style w:type="character" w:customStyle="1" w:styleId="47">
    <w:name w:val="Основной текст с отступом 3 Знак"/>
    <w:link w:val="10"/>
    <w:qFormat/>
    <w:uiPriority w:val="0"/>
    <w:rPr>
      <w:sz w:val="16"/>
      <w:szCs w:val="16"/>
    </w:rPr>
  </w:style>
  <w:style w:type="paragraph" w:customStyle="1" w:styleId="48">
    <w:name w:val="Обычный1"/>
    <w:qFormat/>
    <w:uiPriority w:val="0"/>
    <w:pPr>
      <w:widowControl w:val="0"/>
      <w:spacing w:line="300" w:lineRule="auto"/>
      <w:ind w:firstLine="520"/>
      <w:jc w:val="both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paragraph" w:customStyle="1" w:styleId="49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50">
    <w:name w:val="Текст примечания Знак"/>
    <w:basedOn w:val="20"/>
    <w:link w:val="12"/>
    <w:qFormat/>
    <w:uiPriority w:val="0"/>
  </w:style>
  <w:style w:type="character" w:customStyle="1" w:styleId="51">
    <w:name w:val="Основной текст 3 Знак"/>
    <w:link w:val="19"/>
    <w:qFormat/>
    <w:uiPriority w:val="0"/>
    <w:rPr>
      <w:sz w:val="16"/>
      <w:szCs w:val="16"/>
    </w:rPr>
  </w:style>
  <w:style w:type="character" w:customStyle="1" w:styleId="52">
    <w:name w:val="Цветовое выделение для Текст"/>
    <w:unhideWhenUsed/>
    <w:qFormat/>
    <w:uiPriority w:val="99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8.emf"/><Relationship Id="rId20" Type="http://schemas.openxmlformats.org/officeDocument/2006/relationships/image" Target="media/image7.emf"/><Relationship Id="rId2" Type="http://schemas.openxmlformats.org/officeDocument/2006/relationships/settings" Target="settings.xml"/><Relationship Id="rId19" Type="http://schemas.openxmlformats.org/officeDocument/2006/relationships/image" Target="media/image6.emf"/><Relationship Id="rId18" Type="http://schemas.openxmlformats.org/officeDocument/2006/relationships/image" Target="media/image5.emf"/><Relationship Id="rId17" Type="http://schemas.openxmlformats.org/officeDocument/2006/relationships/image" Target="media/image4.emf"/><Relationship Id="rId16" Type="http://schemas.openxmlformats.org/officeDocument/2006/relationships/image" Target="media/image3.emf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56F5A-9249-4F64-B380-D8A9AB17E4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Департамент социальной полттики ЧАО</Company>
  <Pages>15</Pages>
  <Words>5238</Words>
  <Characters>29863</Characters>
  <Lines>248</Lines>
  <Paragraphs>70</Paragraphs>
  <TotalTime>1</TotalTime>
  <ScaleCrop>false</ScaleCrop>
  <LinksUpToDate>false</LinksUpToDate>
  <CharactersWithSpaces>35031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2017-03-09T22:24:00Z</dcterms:created>
  <dc:creator>Усачев</dc:creator>
  <cp:lastModifiedBy>uzn4</cp:lastModifiedBy>
  <cp:lastPrinted>2020-11-23T21:52:00Z</cp:lastPrinted>
  <dcterms:modified xsi:type="dcterms:W3CDTF">2020-11-30T03:01:54Z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