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5234F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 февраля 2022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5234F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98036C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98036C">
              <w:rPr>
                <w:sz w:val="26"/>
                <w:szCs w:val="26"/>
              </w:rPr>
              <w:t>О системе внутреннего обеспечения соответствия требованиям антимонопольного законодательства в Департаменте здравоохранения Чукотского автономного округа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Default="0098036C" w:rsidP="00686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36C">
        <w:rPr>
          <w:sz w:val="28"/>
          <w:szCs w:val="28"/>
        </w:rPr>
        <w:t>Во исполнение Указа Президента Российской Федерации от 21 декабря 2017 г. № 618 «Об основных направлениях государственной политики по развитию конкуренции» и распоряжения Губернатора Чукотского автономного округа от 18 февраля 2019 г. № 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8 октября 2018 г. № 2258-р,</w:t>
      </w:r>
    </w:p>
    <w:p w:rsidR="0098036C" w:rsidRPr="00144A58" w:rsidRDefault="0098036C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36C" w:rsidRPr="0098036C">
        <w:rPr>
          <w:sz w:val="28"/>
          <w:szCs w:val="28"/>
        </w:rPr>
        <w:tab/>
        <w:t>Утвердить Положение о системе внутреннего обеспечения соответствия требованиям антимонопольного законодательства в Департаменте здравоохранения Чукотского автономного округа (далее — Департамент) согласно приложению к настоящему приказу.</w:t>
      </w:r>
    </w:p>
    <w:p w:rsidR="00686551" w:rsidRDefault="0098036C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036C">
        <w:rPr>
          <w:sz w:val="28"/>
          <w:szCs w:val="28"/>
        </w:rPr>
        <w:t>Определить отдел административной, правовой и кадровой работы Департамента (А.Ю. Борисова)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Департаменте (далее — Уполномоченное подразделение).</w:t>
      </w:r>
    </w:p>
    <w:p w:rsidR="0098036C" w:rsidRPr="0098036C" w:rsidRDefault="00686551" w:rsidP="0098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036C" w:rsidRPr="0098036C">
        <w:rPr>
          <w:sz w:val="28"/>
          <w:szCs w:val="28"/>
        </w:rPr>
        <w:t>Уполномоченному подразделению:</w:t>
      </w:r>
    </w:p>
    <w:p w:rsidR="0098036C" w:rsidRPr="0098036C" w:rsidRDefault="0098036C" w:rsidP="0098036C">
      <w:pPr>
        <w:ind w:firstLine="851"/>
        <w:jc w:val="both"/>
        <w:rPr>
          <w:sz w:val="28"/>
          <w:szCs w:val="28"/>
        </w:rPr>
      </w:pPr>
      <w:r w:rsidRPr="0098036C">
        <w:rPr>
          <w:sz w:val="28"/>
          <w:szCs w:val="28"/>
        </w:rPr>
        <w:t>3.1.</w:t>
      </w:r>
      <w:r w:rsidRPr="0098036C">
        <w:rPr>
          <w:sz w:val="28"/>
          <w:szCs w:val="28"/>
        </w:rPr>
        <w:tab/>
        <w:t>ознакомить государственных служащих и работников Департамента с настоящим приказом под роспись;</w:t>
      </w:r>
    </w:p>
    <w:p w:rsidR="00686551" w:rsidRDefault="0098036C" w:rsidP="0098036C">
      <w:pPr>
        <w:ind w:firstLine="851"/>
        <w:jc w:val="both"/>
        <w:rPr>
          <w:sz w:val="28"/>
          <w:szCs w:val="28"/>
        </w:rPr>
      </w:pPr>
      <w:r w:rsidRPr="0098036C">
        <w:rPr>
          <w:sz w:val="28"/>
          <w:szCs w:val="28"/>
        </w:rPr>
        <w:lastRenderedPageBreak/>
        <w:t>3.2.</w:t>
      </w:r>
      <w:r w:rsidRPr="0098036C">
        <w:rPr>
          <w:sz w:val="28"/>
          <w:szCs w:val="28"/>
        </w:rPr>
        <w:tab/>
        <w:t>разместить настоящий приказ на официальном сайте Департамента в информационно-телекоммуникационной сети «Интернет».</w:t>
      </w:r>
    </w:p>
    <w:p w:rsidR="0098036C" w:rsidRPr="0098036C" w:rsidRDefault="00686551" w:rsidP="0098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036C">
        <w:rPr>
          <w:sz w:val="28"/>
          <w:szCs w:val="28"/>
        </w:rPr>
        <w:t xml:space="preserve"> </w:t>
      </w:r>
      <w:r w:rsidR="0098036C" w:rsidRPr="0098036C">
        <w:rPr>
          <w:sz w:val="28"/>
          <w:szCs w:val="28"/>
        </w:rPr>
        <w:t>Признать утратившими силу следующие приказы Департамента:</w:t>
      </w:r>
    </w:p>
    <w:p w:rsidR="0098036C" w:rsidRPr="0098036C" w:rsidRDefault="0098036C" w:rsidP="0098036C">
      <w:pPr>
        <w:ind w:firstLine="851"/>
        <w:jc w:val="both"/>
        <w:rPr>
          <w:sz w:val="28"/>
          <w:szCs w:val="28"/>
        </w:rPr>
      </w:pPr>
      <w:r w:rsidRPr="0098036C">
        <w:rPr>
          <w:sz w:val="28"/>
          <w:szCs w:val="28"/>
        </w:rPr>
        <w:t>-     от  04 марта 2019 года № 17 «Об организации системы внутреннего обеспечения соответствия требованиям антимонопольного законодательства в Департаменте здравоохранения Чукотского автономного округа»;</w:t>
      </w:r>
    </w:p>
    <w:p w:rsidR="00686551" w:rsidRPr="00144A58" w:rsidRDefault="0098036C" w:rsidP="0098036C">
      <w:pPr>
        <w:ind w:firstLine="851"/>
        <w:jc w:val="both"/>
        <w:rPr>
          <w:sz w:val="28"/>
          <w:szCs w:val="28"/>
        </w:rPr>
      </w:pPr>
      <w:r w:rsidRPr="0098036C">
        <w:rPr>
          <w:sz w:val="28"/>
          <w:szCs w:val="28"/>
        </w:rPr>
        <w:t>-     от 31 марта 2021 года № 238 «О внесении изменения в приказ Департамента здравоохранения Чукотского автономного округа от 04.03.2019 № 17».</w:t>
      </w:r>
    </w:p>
    <w:p w:rsidR="00686551" w:rsidRPr="00144A58" w:rsidRDefault="0098036C" w:rsidP="00686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5. </w:t>
      </w:r>
      <w:r w:rsidRPr="0098036C">
        <w:rPr>
          <w:sz w:val="28"/>
          <w:szCs w:val="28"/>
        </w:rPr>
        <w:t>Контроль за исполнением настоящего приказа оставляю за собой.</w:t>
      </w:r>
    </w:p>
    <w:p w:rsidR="00686551" w:rsidRDefault="00686551" w:rsidP="00686551">
      <w:pPr>
        <w:jc w:val="both"/>
        <w:rPr>
          <w:sz w:val="28"/>
          <w:szCs w:val="28"/>
        </w:rPr>
      </w:pPr>
    </w:p>
    <w:p w:rsidR="0098036C" w:rsidRDefault="0098036C" w:rsidP="00686551">
      <w:pPr>
        <w:jc w:val="both"/>
        <w:rPr>
          <w:sz w:val="28"/>
          <w:szCs w:val="28"/>
        </w:rPr>
      </w:pPr>
    </w:p>
    <w:p w:rsidR="0098036C" w:rsidRDefault="0098036C" w:rsidP="00686551">
      <w:pPr>
        <w:jc w:val="both"/>
        <w:rPr>
          <w:sz w:val="28"/>
          <w:szCs w:val="28"/>
        </w:rPr>
      </w:pPr>
    </w:p>
    <w:p w:rsidR="0098036C" w:rsidRPr="00144A58" w:rsidRDefault="0098036C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879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5234F9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5234F9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Ищенко</w:t>
            </w:r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98036C" w:rsidRDefault="0098036C" w:rsidP="00686551"/>
    <w:p w:rsidR="005234F9" w:rsidRDefault="0098036C" w:rsidP="0098036C">
      <w:pPr>
        <w:spacing w:line="259" w:lineRule="auto"/>
        <w:ind w:left="1066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                                                                         </w:t>
      </w:r>
    </w:p>
    <w:p w:rsidR="005234F9" w:rsidRDefault="005234F9" w:rsidP="0098036C">
      <w:pPr>
        <w:spacing w:line="259" w:lineRule="auto"/>
        <w:ind w:left="1066"/>
        <w:rPr>
          <w:color w:val="000000"/>
          <w:sz w:val="26"/>
          <w:szCs w:val="22"/>
          <w:lang w:eastAsia="en-US"/>
        </w:rPr>
      </w:pPr>
    </w:p>
    <w:p w:rsidR="005234F9" w:rsidRDefault="005234F9" w:rsidP="0098036C">
      <w:pPr>
        <w:spacing w:line="259" w:lineRule="auto"/>
        <w:ind w:left="1066"/>
        <w:rPr>
          <w:color w:val="000000"/>
          <w:sz w:val="26"/>
          <w:szCs w:val="22"/>
          <w:lang w:eastAsia="en-US"/>
        </w:rPr>
      </w:pPr>
    </w:p>
    <w:p w:rsidR="005234F9" w:rsidRDefault="005234F9" w:rsidP="0098036C">
      <w:pPr>
        <w:spacing w:line="259" w:lineRule="auto"/>
        <w:ind w:left="1066"/>
        <w:rPr>
          <w:color w:val="000000"/>
          <w:sz w:val="26"/>
          <w:szCs w:val="22"/>
          <w:lang w:eastAsia="en-US"/>
        </w:rPr>
      </w:pPr>
    </w:p>
    <w:p w:rsidR="0098036C" w:rsidRPr="0098036C" w:rsidRDefault="005234F9" w:rsidP="0098036C">
      <w:pPr>
        <w:spacing w:line="259" w:lineRule="auto"/>
        <w:ind w:left="1066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 xml:space="preserve">                                                                         </w:t>
      </w:r>
      <w:r w:rsidR="0098036C" w:rsidRPr="0098036C">
        <w:rPr>
          <w:color w:val="000000"/>
          <w:sz w:val="26"/>
          <w:szCs w:val="22"/>
          <w:lang w:eastAsia="en-US"/>
        </w:rPr>
        <w:t>Приложение</w:t>
      </w:r>
    </w:p>
    <w:p w:rsidR="0098036C" w:rsidRPr="0098036C" w:rsidRDefault="0098036C" w:rsidP="0098036C">
      <w:pPr>
        <w:spacing w:after="282" w:line="257" w:lineRule="auto"/>
        <w:ind w:left="5805" w:right="778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к приказу Департамента             здравоохранения </w:t>
      </w:r>
      <w:r w:rsidRPr="0098036C">
        <w:rPr>
          <w:color w:val="000000"/>
          <w:sz w:val="26"/>
          <w:szCs w:val="22"/>
          <w:lang w:eastAsia="en-US"/>
        </w:rPr>
        <w:lastRenderedPageBreak/>
        <w:t>Чукотского</w:t>
      </w:r>
      <w:r w:rsidR="005234F9">
        <w:rPr>
          <w:color w:val="000000"/>
          <w:sz w:val="26"/>
          <w:szCs w:val="22"/>
          <w:lang w:eastAsia="en-US"/>
        </w:rPr>
        <w:t xml:space="preserve"> автономного округа от 17.02.2022 г. № 88</w:t>
      </w:r>
      <w:bookmarkStart w:id="1" w:name="_GoBack"/>
      <w:bookmarkEnd w:id="1"/>
    </w:p>
    <w:p w:rsidR="0098036C" w:rsidRPr="0098036C" w:rsidRDefault="0098036C" w:rsidP="0098036C">
      <w:pPr>
        <w:spacing w:after="269" w:line="250" w:lineRule="auto"/>
        <w:ind w:left="1004" w:right="986" w:hanging="10"/>
        <w:jc w:val="center"/>
        <w:rPr>
          <w:b/>
          <w:color w:val="000000"/>
          <w:sz w:val="26"/>
          <w:szCs w:val="22"/>
          <w:lang w:eastAsia="en-US"/>
        </w:rPr>
      </w:pPr>
      <w:r w:rsidRPr="0098036C">
        <w:rPr>
          <w:b/>
          <w:color w:val="000000"/>
          <w:sz w:val="28"/>
          <w:szCs w:val="22"/>
          <w:lang w:eastAsia="en-US"/>
        </w:rPr>
        <w:t>Положение о системе внутреннего обеспечения соответствия требованиям антимонопольного законодательства в Департаменте здравоохранения Чукотского автономного округа</w:t>
      </w:r>
    </w:p>
    <w:p w:rsidR="0098036C" w:rsidRPr="0098036C" w:rsidRDefault="0098036C" w:rsidP="0098036C">
      <w:pPr>
        <w:spacing w:after="310" w:line="250" w:lineRule="auto"/>
        <w:ind w:left="665" w:right="648" w:hanging="10"/>
        <w:jc w:val="center"/>
        <w:rPr>
          <w:b/>
          <w:color w:val="000000"/>
          <w:sz w:val="26"/>
          <w:szCs w:val="22"/>
          <w:lang w:val="en-US"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I. Общие положения</w:t>
      </w:r>
    </w:p>
    <w:p w:rsidR="0098036C" w:rsidRPr="0098036C" w:rsidRDefault="0098036C" w:rsidP="0098036C">
      <w:pPr>
        <w:numPr>
          <w:ilvl w:val="0"/>
          <w:numId w:val="28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Настоящее Положение о системе внутреннего обеспечения соответствия требованиям антимонопольного законодательства в Департаменте здравоохранения Чукотского автономного округа (далее по тексту — Департамент, антимонопольный комплаенс, Положение) разработано в целях обеспечения соответствия деятельности Департамента требованиям антимонопольного законодательства и профилактики нарушений требований антимонопольного законодательства в деятельности Департамента.</w:t>
      </w:r>
    </w:p>
    <w:p w:rsidR="0098036C" w:rsidRPr="0098036C" w:rsidRDefault="0098036C" w:rsidP="0098036C">
      <w:pPr>
        <w:numPr>
          <w:ilvl w:val="0"/>
          <w:numId w:val="28"/>
        </w:numPr>
        <w:spacing w:after="251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г. № 2258-р (далее - Методические рекомендации).</w:t>
      </w:r>
    </w:p>
    <w:p w:rsidR="0098036C" w:rsidRPr="0098036C" w:rsidRDefault="0098036C" w:rsidP="0098036C">
      <w:pPr>
        <w:spacing w:after="310" w:line="250" w:lineRule="auto"/>
        <w:ind w:left="2227" w:right="655"/>
        <w:rPr>
          <w:b/>
          <w:color w:val="000000"/>
          <w:sz w:val="26"/>
          <w:szCs w:val="22"/>
          <w:lang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II</w:t>
      </w:r>
      <w:r w:rsidRPr="0098036C">
        <w:rPr>
          <w:b/>
          <w:color w:val="000000"/>
          <w:sz w:val="28"/>
          <w:szCs w:val="22"/>
          <w:lang w:eastAsia="en-US"/>
        </w:rPr>
        <w:t>. Организация антимонопольного комплаенса</w:t>
      </w:r>
    </w:p>
    <w:p w:rsidR="0098036C" w:rsidRPr="0098036C" w:rsidRDefault="0098036C" w:rsidP="0098036C">
      <w:pPr>
        <w:spacing w:after="1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1. Общий контроль организации антимонопольного комплаенса и обеспечения его функционирования в Департаменте осуществляется начальником Департамента, который: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а) утверждает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применяет предусмотренные законодательством Российской Федерации меры ответственности за нарушение сотрудниками Департамента правил антимонопольного комплаенса;</w:t>
      </w:r>
    </w:p>
    <w:p w:rsidR="0098036C" w:rsidRPr="0098036C" w:rsidRDefault="0098036C" w:rsidP="0098036C">
      <w:pPr>
        <w:spacing w:after="56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г) осуществляет контроль</w:t>
      </w:r>
      <w:r w:rsidRPr="0098036C">
        <w:rPr>
          <w:color w:val="000000"/>
          <w:sz w:val="26"/>
          <w:szCs w:val="22"/>
          <w:lang w:eastAsia="en-US"/>
        </w:rPr>
        <w:tab/>
        <w:t>за устранением выявленных недостатков антимонопольного комплаенса;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д) утверждает карту рисков нарушений антимонопольного законодательства Департамента;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е) утверждает ключевые показатели эффективности антимонопольного комплаенса;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ж) утверждает план мероприятий («дорожную карту») по снижению рисков нарушений антимонопольного законодательства Департамента;</w:t>
      </w:r>
    </w:p>
    <w:p w:rsidR="0098036C" w:rsidRPr="0098036C" w:rsidRDefault="0098036C" w:rsidP="0098036C">
      <w:pPr>
        <w:spacing w:after="19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lastRenderedPageBreak/>
        <w:t>з) подписывает доклад об антимонопольном комплаенсе, утверждаемый коллегиальным органом, осуществляющим оценку эффективности функционирования антимонопольного комплаенса.</w:t>
      </w:r>
    </w:p>
    <w:p w:rsidR="0098036C" w:rsidRPr="0098036C" w:rsidRDefault="0098036C" w:rsidP="0098036C">
      <w:pPr>
        <w:spacing w:after="28" w:line="257" w:lineRule="auto"/>
        <w:ind w:left="14" w:right="7" w:firstLine="69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  2. Функции уполномоченного подразделения, связанные с организацией и функционированием антимонопольного комплаенса, осуществляются структурными подразделением Департамента: отделом административной, правовой и кадровой работы Департамента.</w:t>
      </w:r>
    </w:p>
    <w:p w:rsidR="0098036C" w:rsidRPr="0098036C" w:rsidRDefault="0098036C" w:rsidP="0098036C">
      <w:pPr>
        <w:numPr>
          <w:ilvl w:val="0"/>
          <w:numId w:val="28"/>
        </w:numPr>
        <w:spacing w:after="53" w:line="257" w:lineRule="auto"/>
        <w:ind w:right="7" w:firstLine="837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 компетенции отдела административной, правовой и кадровой работы Департамента относятся следующие функции уполномоченного подразделения:</w:t>
      </w:r>
    </w:p>
    <w:p w:rsidR="0098036C" w:rsidRPr="0098036C" w:rsidRDefault="0098036C" w:rsidP="0098036C">
      <w:pPr>
        <w:spacing w:after="59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а) выявление и оценка рисков нарушений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нарушений антимонопольного законодательства;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выявление конфликта интересов в деятельности служащих и структурных подразделений Департамента, разработка предложений по их исключению;</w:t>
      </w:r>
    </w:p>
    <w:p w:rsidR="0098036C" w:rsidRPr="0098036C" w:rsidRDefault="0098036C" w:rsidP="0098036C">
      <w:pPr>
        <w:spacing w:after="67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в) консультирование сотрудников Департамента по вопросам, связанным с соблюдением антимонопольного законодательства и антимонопольным комплаенсом;</w:t>
      </w:r>
    </w:p>
    <w:p w:rsidR="0098036C" w:rsidRPr="0098036C" w:rsidRDefault="0098036C" w:rsidP="0098036C">
      <w:pPr>
        <w:spacing w:after="7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г) инициирование проверок, связанных с нарушениями, выявленными 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д) проведение проверок, связанных с нарушениями, выявленными в ходе контроля соответствия деятельности сотрудников Департамента требованиям антимонопольного законодательства, в порядке, установленном действующим законодательством;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е) организация взаимодействия с другими структурными подразделениями Департамента по вопросам, связанным с антимонопольным комплаенсом;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ж) информирование начальника Департамента о внутренних документах, которые могут повлечь нарушение антимонопольного законодательства;</w:t>
      </w:r>
    </w:p>
    <w:p w:rsidR="0098036C" w:rsidRPr="0098036C" w:rsidRDefault="0098036C" w:rsidP="0098036C">
      <w:pPr>
        <w:spacing w:after="28" w:line="257" w:lineRule="auto"/>
        <w:ind w:left="864" w:right="1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з) подготовка проекта доклада об антимонопольном комплаенсе;</w:t>
      </w:r>
    </w:p>
    <w:p w:rsidR="0098036C" w:rsidRPr="0098036C" w:rsidRDefault="0098036C" w:rsidP="0098036C">
      <w:pPr>
        <w:spacing w:after="60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и) взаимодействие с антимонопольным органом и содействие ему в части, касающейся вопросов, связанных с проводимыми проверками; </w:t>
      </w:r>
    </w:p>
    <w:p w:rsidR="0098036C" w:rsidRPr="0098036C" w:rsidRDefault="0098036C" w:rsidP="0098036C">
      <w:pPr>
        <w:spacing w:after="60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к) подготовка карты рисков нарушений антимонопольного законодательства Департамента;</w:t>
      </w:r>
    </w:p>
    <w:p w:rsidR="0098036C" w:rsidRPr="0098036C" w:rsidRDefault="0098036C" w:rsidP="0098036C">
      <w:pPr>
        <w:spacing w:after="54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л) подготовка плана мероприятий («дорожной карты») по снижению рисков нарушений антимонопольного законодательства Департамента;</w:t>
      </w:r>
    </w:p>
    <w:p w:rsidR="0098036C" w:rsidRPr="0098036C" w:rsidRDefault="0098036C" w:rsidP="0098036C">
      <w:pPr>
        <w:spacing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м) ознакомление гражданина Российской Федерации с настоящим Положением при поступлении на работу в Департамент.</w:t>
      </w:r>
    </w:p>
    <w:p w:rsidR="0098036C" w:rsidRPr="0098036C" w:rsidRDefault="0098036C" w:rsidP="0098036C">
      <w:pPr>
        <w:numPr>
          <w:ilvl w:val="0"/>
          <w:numId w:val="28"/>
        </w:numPr>
        <w:spacing w:after="28" w:line="257" w:lineRule="auto"/>
        <w:ind w:right="14" w:firstLine="837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 функциям Коллегиального органа относятся: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а) рассмотрение и оценка мероприятий Департамента в части, касающейся функционирования антимонопольного комплаенса;</w:t>
      </w:r>
    </w:p>
    <w:p w:rsidR="0098036C" w:rsidRPr="0098036C" w:rsidRDefault="0098036C" w:rsidP="0098036C">
      <w:pPr>
        <w:spacing w:after="300" w:line="257" w:lineRule="auto"/>
        <w:ind w:left="850" w:right="1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рассмотрение и утверждение доклада об антимонопольном комплаенсе.</w:t>
      </w:r>
    </w:p>
    <w:p w:rsidR="0098036C" w:rsidRPr="0098036C" w:rsidRDefault="0098036C" w:rsidP="0098036C">
      <w:pPr>
        <w:spacing w:after="10" w:line="250" w:lineRule="auto"/>
        <w:ind w:left="665" w:right="684" w:hanging="10"/>
        <w:jc w:val="center"/>
        <w:rPr>
          <w:b/>
          <w:color w:val="000000"/>
          <w:sz w:val="26"/>
          <w:szCs w:val="22"/>
          <w:lang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III</w:t>
      </w:r>
      <w:r w:rsidRPr="0098036C">
        <w:rPr>
          <w:b/>
          <w:color w:val="000000"/>
          <w:sz w:val="28"/>
          <w:szCs w:val="22"/>
          <w:lang w:eastAsia="en-US"/>
        </w:rPr>
        <w:t>. Выявление и оценка рисков нарушения</w:t>
      </w:r>
    </w:p>
    <w:p w:rsidR="0098036C" w:rsidRPr="0098036C" w:rsidRDefault="0098036C" w:rsidP="0098036C">
      <w:pPr>
        <w:spacing w:after="310" w:line="250" w:lineRule="auto"/>
        <w:ind w:left="665" w:right="698" w:hanging="10"/>
        <w:jc w:val="center"/>
        <w:rPr>
          <w:b/>
          <w:color w:val="000000"/>
          <w:sz w:val="26"/>
          <w:szCs w:val="22"/>
          <w:lang w:val="en-US"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Департаментом антимонопольного законодательства</w:t>
      </w:r>
    </w:p>
    <w:p w:rsidR="0098036C" w:rsidRPr="0098036C" w:rsidRDefault="0098036C" w:rsidP="0098036C">
      <w:pPr>
        <w:numPr>
          <w:ilvl w:val="0"/>
          <w:numId w:val="34"/>
        </w:numPr>
        <w:spacing w:after="61" w:line="257" w:lineRule="auto"/>
        <w:ind w:left="0" w:right="14" w:firstLine="851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lastRenderedPageBreak/>
        <w:t>В целях выявления и оценки рисков нарушения антимонопольного законодательства проводится: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а) анализ деятельности Департамента на предмет нарушений антимонопольного законодательства за предыдущие 3 года;</w:t>
      </w:r>
    </w:p>
    <w:p w:rsidR="0098036C" w:rsidRPr="0098036C" w:rsidRDefault="0098036C" w:rsidP="0098036C">
      <w:pPr>
        <w:spacing w:after="28" w:line="257" w:lineRule="auto"/>
        <w:ind w:left="842" w:right="1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анализ нормативных правовых актов Департамента;</w:t>
      </w:r>
    </w:p>
    <w:p w:rsidR="0098036C" w:rsidRPr="0098036C" w:rsidRDefault="0098036C" w:rsidP="0098036C">
      <w:pPr>
        <w:spacing w:after="50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в) анализ проектов нормативных правовых актов Департамента на предмет выявления нарушений антимонопольного законодательства;</w:t>
      </w:r>
    </w:p>
    <w:p w:rsidR="0098036C" w:rsidRPr="0098036C" w:rsidRDefault="0098036C" w:rsidP="0098036C">
      <w:pPr>
        <w:spacing w:after="28" w:line="257" w:lineRule="auto"/>
        <w:ind w:left="850" w:right="1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г) определение уровня рисков нарушений антимонопольного законодательства;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д) оценка эффективности разработанных и реализуемых мероприятий Департамента в части, касающейся функционирования антимонопольного комплаенса.</w:t>
      </w:r>
    </w:p>
    <w:p w:rsidR="0098036C" w:rsidRPr="0098036C" w:rsidRDefault="0098036C" w:rsidP="0098036C">
      <w:pPr>
        <w:spacing w:after="19" w:line="257" w:lineRule="auto"/>
        <w:ind w:firstLine="851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По результатам проведения мероприятий, указанных в подпунктах «а» и «б» настоящего пункта, отдел административной, правовой и кадровой работы готовит аналитическую справку, которая подлежит представлению начальнику Департамента не позднее 20 февраля года, следующего за отчетным.</w:t>
      </w:r>
    </w:p>
    <w:p w:rsidR="0098036C" w:rsidRPr="0098036C" w:rsidRDefault="0098036C" w:rsidP="0098036C">
      <w:pPr>
        <w:spacing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2. При проведении мероприятий, предусмотренных подпунктом «а» пункта 1 настоящего раздела, отдел административной, правовой и кадровой работы осуществляет:</w:t>
      </w:r>
    </w:p>
    <w:p w:rsidR="0098036C" w:rsidRPr="0098036C" w:rsidRDefault="0098036C" w:rsidP="0098036C">
      <w:pPr>
        <w:numPr>
          <w:ilvl w:val="0"/>
          <w:numId w:val="29"/>
        </w:numPr>
        <w:spacing w:after="200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сбор сведений о наличии нарушений антимонопольного законодательства в структурных подразделениях Департамента;</w:t>
      </w:r>
    </w:p>
    <w:p w:rsidR="0098036C" w:rsidRPr="0098036C" w:rsidRDefault="0098036C" w:rsidP="0098036C">
      <w:pPr>
        <w:numPr>
          <w:ilvl w:val="0"/>
          <w:numId w:val="29"/>
        </w:numPr>
        <w:spacing w:after="200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98036C" w:rsidRPr="0098036C" w:rsidRDefault="0098036C" w:rsidP="0098036C">
      <w:pPr>
        <w:spacing w:after="6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3. При проведении мероприятий, предусмотренных подпунктом «б» пункта 1 настоящего раздела за период с 1 января по 31 декабря текущего года, отдел административной, правовой и кадровой осуществляет:</w:t>
      </w:r>
    </w:p>
    <w:p w:rsidR="0098036C" w:rsidRPr="0098036C" w:rsidRDefault="0098036C" w:rsidP="0098036C">
      <w:pPr>
        <w:numPr>
          <w:ilvl w:val="0"/>
          <w:numId w:val="30"/>
        </w:numPr>
        <w:spacing w:after="200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подготовку исчерпывающего перечня нормативных правовых актов Департамента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Чукотского автономного округа в информационно – телекоммуникационной  сети «Интернет» (далее - сеть «Интернет»);</w:t>
      </w:r>
    </w:p>
    <w:p w:rsidR="0098036C" w:rsidRPr="0098036C" w:rsidRDefault="0098036C" w:rsidP="0098036C">
      <w:pPr>
        <w:numPr>
          <w:ilvl w:val="0"/>
          <w:numId w:val="30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размещение на официальном сайте Чукотского автономного округа в сети «Интернет» уведомления о начале сбора замечаний и предложений организаций и граждан по перечню актов (в срок не позднее 15 января года, следующего за отчетным) относительно их соответствия антимонопольному законодательству;</w:t>
      </w:r>
    </w:p>
    <w:p w:rsidR="0098036C" w:rsidRPr="0098036C" w:rsidRDefault="0098036C" w:rsidP="0098036C">
      <w:pPr>
        <w:numPr>
          <w:ilvl w:val="0"/>
          <w:numId w:val="30"/>
        </w:numPr>
        <w:spacing w:after="7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сбор замечаний и предложений организаций и граждан по перечню актов (в срок не позднее 15 февраля года, следующего за отчетным);</w:t>
      </w:r>
    </w:p>
    <w:p w:rsidR="0098036C" w:rsidRPr="0098036C" w:rsidRDefault="0098036C" w:rsidP="0098036C">
      <w:pPr>
        <w:numPr>
          <w:ilvl w:val="0"/>
          <w:numId w:val="30"/>
        </w:numPr>
        <w:spacing w:after="5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анализ представленных замечаний и предложений организаций и граждан по перечню актов (в срок не позднее 20 февраля года, следующего за отчетным).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4. При проведении мероприятий, предусмотренных подпунктом «в» пункта 1 настоящего раздела на постоянной основе:</w:t>
      </w:r>
    </w:p>
    <w:p w:rsidR="0098036C" w:rsidRPr="0098036C" w:rsidRDefault="0098036C" w:rsidP="0098036C">
      <w:pPr>
        <w:numPr>
          <w:ilvl w:val="0"/>
          <w:numId w:val="31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размещение проекта нормативного правового акта, в том числе с описанием его влияния на конкуренцию, на официальном сайте Чукотского автономного округа в </w:t>
      </w:r>
      <w:r w:rsidRPr="0098036C">
        <w:rPr>
          <w:color w:val="000000"/>
          <w:sz w:val="26"/>
          <w:szCs w:val="22"/>
          <w:lang w:eastAsia="en-US"/>
        </w:rPr>
        <w:lastRenderedPageBreak/>
        <w:t xml:space="preserve">сети «Интернет» (размещение на официальном сайте </w:t>
      </w:r>
      <w:r w:rsidRPr="0098036C">
        <w:rPr>
          <w:color w:val="000000"/>
          <w:sz w:val="26"/>
          <w:szCs w:val="22"/>
          <w:lang w:val="en-US" w:eastAsia="en-US"/>
        </w:rPr>
        <w:t>regulation</w:t>
      </w:r>
      <w:r w:rsidRPr="0098036C">
        <w:rPr>
          <w:color w:val="000000"/>
          <w:sz w:val="26"/>
          <w:szCs w:val="22"/>
          <w:lang w:eastAsia="en-US"/>
        </w:rPr>
        <w:t>.</w:t>
      </w:r>
      <w:r w:rsidRPr="0098036C">
        <w:rPr>
          <w:color w:val="000000"/>
          <w:sz w:val="26"/>
          <w:szCs w:val="22"/>
          <w:lang w:val="en-US" w:eastAsia="en-US"/>
        </w:rPr>
        <w:t>gov</w:t>
      </w:r>
      <w:r w:rsidRPr="0098036C">
        <w:rPr>
          <w:color w:val="000000"/>
          <w:sz w:val="26"/>
          <w:szCs w:val="22"/>
          <w:lang w:eastAsia="en-US"/>
        </w:rPr>
        <w:t>.</w:t>
      </w:r>
      <w:r w:rsidRPr="0098036C">
        <w:rPr>
          <w:color w:val="000000"/>
          <w:sz w:val="26"/>
          <w:szCs w:val="22"/>
          <w:lang w:val="en-US" w:eastAsia="en-US"/>
        </w:rPr>
        <w:t>ru</w:t>
      </w:r>
      <w:r w:rsidRPr="0098036C">
        <w:rPr>
          <w:color w:val="000000"/>
          <w:sz w:val="26"/>
          <w:szCs w:val="22"/>
          <w:lang w:eastAsia="en-US"/>
        </w:rPr>
        <w:t xml:space="preserve"> в сети «Интернет» приравнивается к такому размещению) осуществляется Отделом, являющимся разработчиком соответствующего нормативного правового акта (далее - разработчик), с уведомлением об этом отдела административной, правовой и кадровой работы;</w:t>
      </w:r>
    </w:p>
    <w:p w:rsidR="0098036C" w:rsidRPr="0098036C" w:rsidRDefault="0098036C" w:rsidP="0098036C">
      <w:pPr>
        <w:numPr>
          <w:ilvl w:val="0"/>
          <w:numId w:val="31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оценка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разработчику заключения о соответствии (несоответствии) такого проекта антимонопольному законодательству осуществляются отделом административной, правовой и кадровой работы;</w:t>
      </w:r>
    </w:p>
    <w:p w:rsidR="0098036C" w:rsidRPr="0098036C" w:rsidRDefault="0098036C" w:rsidP="0098036C">
      <w:pPr>
        <w:numPr>
          <w:ilvl w:val="0"/>
          <w:numId w:val="31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представление начальнику Департамента проекта нормативного правового акта Департамента осуществляется разработчиком с приложением заключения отдела административной, правовой и кадровой работы о соответствии (несоответствии) такого проекта антимонопольному законодательству.</w:t>
      </w:r>
    </w:p>
    <w:p w:rsidR="0098036C" w:rsidRPr="0098036C" w:rsidRDefault="0098036C" w:rsidP="0098036C">
      <w:pPr>
        <w:spacing w:after="16" w:line="234" w:lineRule="auto"/>
        <w:ind w:right="14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            5. При проведении мероприятий, предусмотренных подпунктом «г» пункта 1 настоящего раздела, отдел административной, правовой и кадровой работы осуществляет:</w:t>
      </w:r>
    </w:p>
    <w:p w:rsidR="0098036C" w:rsidRPr="0098036C" w:rsidRDefault="0098036C" w:rsidP="0098036C">
      <w:pPr>
        <w:numPr>
          <w:ilvl w:val="0"/>
          <w:numId w:val="32"/>
        </w:numPr>
        <w:spacing w:after="6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описание рисков нарушения антимонопольного законодательства с определением причин и условий их возникновения;</w:t>
      </w:r>
    </w:p>
    <w:p w:rsidR="0098036C" w:rsidRPr="0098036C" w:rsidRDefault="0098036C" w:rsidP="0098036C">
      <w:pPr>
        <w:numPr>
          <w:ilvl w:val="0"/>
          <w:numId w:val="32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присвоение каждому риску нарушения антимонопольного законодательства соответствующего уровня в соответствии с Методическими рекомендациями.</w:t>
      </w:r>
    </w:p>
    <w:p w:rsidR="0098036C" w:rsidRPr="0098036C" w:rsidRDefault="0098036C" w:rsidP="0098036C">
      <w:pPr>
        <w:spacing w:after="322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noProof/>
          <w:color w:val="000000"/>
          <w:sz w:val="26"/>
          <w:szCs w:val="22"/>
        </w:rPr>
        <w:t xml:space="preserve">-  </w:t>
      </w:r>
      <w:r w:rsidRPr="0098036C">
        <w:rPr>
          <w:color w:val="000000"/>
          <w:sz w:val="26"/>
          <w:szCs w:val="22"/>
          <w:lang w:eastAsia="en-US"/>
        </w:rPr>
        <w:t>выявленные риски отражаются отделом административной, правовой и кадровой работы в карте рисков нарушений антимонопольного законодательства Департамента, которая утверждается начальником Департамента и размещается на официальном сайте Чукотского автономного округа в сети «Интернет» в срок не позднее 25 февраля года, следующего за отчетным.</w:t>
      </w:r>
    </w:p>
    <w:p w:rsidR="0098036C" w:rsidRPr="0098036C" w:rsidRDefault="0098036C" w:rsidP="0098036C">
      <w:pPr>
        <w:spacing w:after="310" w:line="250" w:lineRule="auto"/>
        <w:ind w:left="665" w:right="648" w:hanging="10"/>
        <w:jc w:val="center"/>
        <w:rPr>
          <w:b/>
          <w:color w:val="000000"/>
          <w:sz w:val="26"/>
          <w:szCs w:val="22"/>
          <w:lang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IV</w:t>
      </w:r>
      <w:r w:rsidRPr="0098036C">
        <w:rPr>
          <w:b/>
          <w:color w:val="000000"/>
          <w:sz w:val="28"/>
          <w:szCs w:val="22"/>
          <w:lang w:eastAsia="en-US"/>
        </w:rPr>
        <w:t>. План мероприятий («дорожная карта») по снижению рисков нарушений антимонопольного законодательства</w:t>
      </w:r>
    </w:p>
    <w:p w:rsidR="0098036C" w:rsidRPr="0098036C" w:rsidRDefault="0098036C" w:rsidP="0098036C">
      <w:pPr>
        <w:numPr>
          <w:ilvl w:val="0"/>
          <w:numId w:val="33"/>
        </w:numPr>
        <w:spacing w:after="28" w:line="257" w:lineRule="auto"/>
        <w:ind w:right="14" w:firstLine="837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 целях снижения рисков нарушений антимонопольного законодательства отделом административной, правовой и кадровой работы ежегодно разрабатывается план мероприятий («дорожная карта») по снижению рисков нарушений антимонопольного законодательства. План мероприятий («дорожная карта») по снижению рисков нарушений антимонопольного законодательства Департамента подлежит пересмотру в случае внесения изменений в карту рисков нарушений антимонопольного законодательства Департамента.</w:t>
      </w:r>
    </w:p>
    <w:p w:rsidR="0098036C" w:rsidRPr="0098036C" w:rsidRDefault="0098036C" w:rsidP="0098036C">
      <w:pPr>
        <w:numPr>
          <w:ilvl w:val="0"/>
          <w:numId w:val="33"/>
        </w:numPr>
        <w:spacing w:after="49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План мероприятий («дорожная карта») по снижению рисков нарушений антимонопольного законодательства Департамента должен содержать в разрезе каждого риска (согласно карте рисков нарушений антимонопольного законодательства Департамента) конкретные мероприятия, необходимые для устранения выявленных рисков.</w:t>
      </w:r>
    </w:p>
    <w:p w:rsidR="0098036C" w:rsidRPr="0098036C" w:rsidRDefault="0098036C" w:rsidP="0098036C">
      <w:pPr>
        <w:spacing w:after="5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 плане мероприятий («дорожной карте») по снижению рисков нарушений антимонопольного законодательства Департамента в обязательном порядке должны быть указаны: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- общие меры по минимизации и устранению рисков (согласно карте рисков нарушений антимонопольного законодательства Департамента); 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- описание конкретных действий (мероприятий), направленных на минимизацию и устранение рисков нарушений антимонопольного законодательства; 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- ответственное лицо (с указанием должности и структурного подразделения); 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- срок исполнения мероприятия.</w:t>
      </w:r>
    </w:p>
    <w:p w:rsidR="0098036C" w:rsidRPr="0098036C" w:rsidRDefault="0098036C" w:rsidP="0098036C">
      <w:pPr>
        <w:spacing w:after="19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При необходимости в плане мероприятий («дорожной карте») по снижению рисков нарушений антимонопольного законодательства Департамента могут быть указаны дополнительные сведения.</w:t>
      </w:r>
    </w:p>
    <w:p w:rsidR="0098036C" w:rsidRPr="0098036C" w:rsidRDefault="0098036C" w:rsidP="0098036C">
      <w:pPr>
        <w:numPr>
          <w:ilvl w:val="0"/>
          <w:numId w:val="33"/>
        </w:numPr>
        <w:spacing w:after="19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План мероприятий («дорожная карта») по снижению рисков нарушений антимонопольного законодательства Департамента утверждается начальником Департамента в срок не позднее 1 марта года, на который планируются мероприятия.</w:t>
      </w:r>
    </w:p>
    <w:p w:rsidR="0098036C" w:rsidRPr="0098036C" w:rsidRDefault="0098036C" w:rsidP="0098036C">
      <w:pPr>
        <w:numPr>
          <w:ilvl w:val="0"/>
          <w:numId w:val="33"/>
        </w:numPr>
        <w:spacing w:after="28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Отдел административной, правовой и кадровой работы на постоянной основе осуществляет мониторинг исполнения плана мероприятий («дорожной карты») по снижению рисков нарушений антимонопольного законодательства Департамента.</w:t>
      </w:r>
    </w:p>
    <w:p w:rsidR="0098036C" w:rsidRPr="0098036C" w:rsidRDefault="0098036C" w:rsidP="0098036C">
      <w:pPr>
        <w:numPr>
          <w:ilvl w:val="0"/>
          <w:numId w:val="33"/>
        </w:numPr>
        <w:spacing w:after="19" w:line="257" w:lineRule="auto"/>
        <w:ind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Информация об исполнении плана мероприятий («дорожной карты») по снижению рисков нарушений антимонопольного законодательства Департамента подлежит включению в доклад об антимонопольном комплаенсе.</w:t>
      </w:r>
    </w:p>
    <w:p w:rsidR="0098036C" w:rsidRPr="0098036C" w:rsidRDefault="0098036C" w:rsidP="0098036C">
      <w:pPr>
        <w:spacing w:after="19" w:line="257" w:lineRule="auto"/>
        <w:ind w:left="854" w:right="14"/>
        <w:jc w:val="both"/>
        <w:rPr>
          <w:color w:val="000000"/>
          <w:sz w:val="26"/>
          <w:szCs w:val="22"/>
          <w:lang w:eastAsia="en-US"/>
        </w:rPr>
      </w:pPr>
    </w:p>
    <w:p w:rsidR="0098036C" w:rsidRPr="0098036C" w:rsidRDefault="0098036C" w:rsidP="0098036C">
      <w:pPr>
        <w:spacing w:after="310" w:line="250" w:lineRule="auto"/>
        <w:ind w:left="665" w:right="634" w:hanging="10"/>
        <w:jc w:val="center"/>
        <w:rPr>
          <w:b/>
          <w:color w:val="000000"/>
          <w:sz w:val="26"/>
          <w:szCs w:val="22"/>
          <w:lang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V</w:t>
      </w:r>
      <w:r w:rsidRPr="0098036C">
        <w:rPr>
          <w:b/>
          <w:color w:val="000000"/>
          <w:sz w:val="28"/>
          <w:szCs w:val="22"/>
          <w:lang w:eastAsia="en-US"/>
        </w:rPr>
        <w:t>. Ключевые показатели эффективности антимонопольного комплаенса</w:t>
      </w:r>
    </w:p>
    <w:p w:rsidR="0098036C" w:rsidRPr="0098036C" w:rsidRDefault="0098036C" w:rsidP="0098036C">
      <w:pPr>
        <w:numPr>
          <w:ilvl w:val="0"/>
          <w:numId w:val="35"/>
        </w:numPr>
        <w:spacing w:after="19" w:line="257" w:lineRule="auto"/>
        <w:ind w:left="0" w:right="14" w:firstLine="854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Установление и оценка достижения значения ключевых показателей эффекгивности антимонопольного комплаенса представляет собой часть системы внутреннего контроля. Под отчетным периодом понимается календарный год.</w:t>
      </w:r>
    </w:p>
    <w:p w:rsidR="0098036C" w:rsidRPr="0098036C" w:rsidRDefault="0098036C" w:rsidP="0098036C">
      <w:pPr>
        <w:numPr>
          <w:ilvl w:val="0"/>
          <w:numId w:val="35"/>
        </w:num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Ключевые показатели эффективности антимонопольного комплаенса устанавливаются для Департамента в целом, разрабатываются отделом административной, правовой и кадровой работы и утверждаются начальником Департамента ежегодно в срок не позднее 10 мая отчетного года.</w:t>
      </w:r>
    </w:p>
    <w:p w:rsidR="0098036C" w:rsidRPr="0098036C" w:rsidRDefault="0098036C" w:rsidP="0098036C">
      <w:pPr>
        <w:numPr>
          <w:ilvl w:val="0"/>
          <w:numId w:val="35"/>
        </w:numPr>
        <w:spacing w:after="2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98036C" w:rsidRPr="0098036C" w:rsidRDefault="0098036C" w:rsidP="0098036C">
      <w:pPr>
        <w:numPr>
          <w:ilvl w:val="0"/>
          <w:numId w:val="35"/>
        </w:numPr>
        <w:spacing w:after="327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Отдел административной, правовой и кадровой работы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98036C" w:rsidRPr="0098036C" w:rsidRDefault="0098036C" w:rsidP="0098036C">
      <w:pPr>
        <w:spacing w:after="310" w:line="250" w:lineRule="auto"/>
        <w:ind w:left="665" w:right="655" w:hanging="10"/>
        <w:jc w:val="center"/>
        <w:rPr>
          <w:b/>
          <w:color w:val="000000"/>
          <w:sz w:val="26"/>
          <w:szCs w:val="22"/>
          <w:lang w:val="en-US"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VI. Оценка эффективности антимонопольного комплаенса</w:t>
      </w:r>
    </w:p>
    <w:p w:rsidR="0098036C" w:rsidRPr="0098036C" w:rsidRDefault="0098036C" w:rsidP="0098036C">
      <w:pPr>
        <w:numPr>
          <w:ilvl w:val="0"/>
          <w:numId w:val="36"/>
        </w:numPr>
        <w:spacing w:after="6" w:line="257" w:lineRule="auto"/>
        <w:ind w:left="0" w:right="14" w:firstLine="854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Оценка эффективности организации и функционирования в Департаменте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98036C" w:rsidRPr="0098036C" w:rsidRDefault="0098036C" w:rsidP="0098036C">
      <w:pPr>
        <w:numPr>
          <w:ilvl w:val="0"/>
          <w:numId w:val="36"/>
        </w:numPr>
        <w:spacing w:after="19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а) карту рисков нарушения антимонопольного законодательства Департамента, утвержденную начальником Департамента на отчетный период;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ключевые показатели эффективности антимонопольного комплаенса, утвержденные начальником Департамента на отчетный период;</w:t>
      </w:r>
    </w:p>
    <w:p w:rsidR="0098036C" w:rsidRPr="0098036C" w:rsidRDefault="0098036C" w:rsidP="0098036C">
      <w:pPr>
        <w:spacing w:after="331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в) план мероприятий («дорожную карту») по снижению рисков нарушения антимонопольного законодательства Департамента, утвержденную начальником Департамента на отчетный период.</w:t>
      </w:r>
    </w:p>
    <w:p w:rsidR="0098036C" w:rsidRPr="0098036C" w:rsidRDefault="0098036C" w:rsidP="0098036C">
      <w:pPr>
        <w:spacing w:after="310" w:line="250" w:lineRule="auto"/>
        <w:ind w:left="665" w:right="684" w:hanging="10"/>
        <w:jc w:val="center"/>
        <w:rPr>
          <w:b/>
          <w:color w:val="000000"/>
          <w:sz w:val="26"/>
          <w:szCs w:val="22"/>
          <w:lang w:val="en-US" w:eastAsia="en-US"/>
        </w:rPr>
      </w:pPr>
      <w:r w:rsidRPr="0098036C">
        <w:rPr>
          <w:b/>
          <w:color w:val="000000"/>
          <w:sz w:val="28"/>
          <w:szCs w:val="22"/>
          <w:lang w:val="en-US" w:eastAsia="en-US"/>
        </w:rPr>
        <w:t>VII. Доклад об антимонопольном комплаенсе</w:t>
      </w:r>
    </w:p>
    <w:p w:rsidR="0098036C" w:rsidRPr="0098036C" w:rsidRDefault="0098036C" w:rsidP="0098036C">
      <w:pPr>
        <w:numPr>
          <w:ilvl w:val="0"/>
          <w:numId w:val="37"/>
        </w:numPr>
        <w:spacing w:after="19" w:line="257" w:lineRule="auto"/>
        <w:ind w:left="0" w:right="14" w:firstLine="854"/>
        <w:contextualSpacing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Проект доклада об антимонопольном комплаенсе представляется отделом административной, правовой и кадровой работы на подпись начальнику Департамента не позднее 1 марта года, следующего за отчетным.</w:t>
      </w:r>
    </w:p>
    <w:p w:rsidR="0098036C" w:rsidRPr="0098036C" w:rsidRDefault="0098036C" w:rsidP="0098036C">
      <w:pPr>
        <w:numPr>
          <w:ilvl w:val="0"/>
          <w:numId w:val="37"/>
        </w:num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Проект доклада об антимонопольном комплаенсе подписывается начальником Департамента в срок не позднее 15 марта года, следующего за отчетным.</w:t>
      </w:r>
    </w:p>
    <w:p w:rsidR="0098036C" w:rsidRPr="0098036C" w:rsidRDefault="0098036C" w:rsidP="0098036C">
      <w:pPr>
        <w:numPr>
          <w:ilvl w:val="0"/>
          <w:numId w:val="37"/>
        </w:num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Отдел административной, правовой и кадровой работы обеспечивает представление подписанного начальником Департамента доклада об антимонопольном комплаенсе в Коллегиальный орган в течение недели с момента его подписания.</w:t>
      </w:r>
    </w:p>
    <w:p w:rsidR="0098036C" w:rsidRPr="0098036C" w:rsidRDefault="0098036C" w:rsidP="0098036C">
      <w:pPr>
        <w:numPr>
          <w:ilvl w:val="0"/>
          <w:numId w:val="37"/>
        </w:num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Коллегиальный орган утверждает доклад об антимонопольном комплаенсе в срок не позднее 1 апреля года, следующего за отчетным.</w:t>
      </w:r>
    </w:p>
    <w:p w:rsidR="0098036C" w:rsidRPr="0098036C" w:rsidRDefault="0098036C" w:rsidP="0098036C">
      <w:pPr>
        <w:numPr>
          <w:ilvl w:val="0"/>
          <w:numId w:val="37"/>
        </w:num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Доклад об антимонопольном комплаенсе должен содержать:</w:t>
      </w:r>
    </w:p>
    <w:p w:rsidR="0098036C" w:rsidRPr="0098036C" w:rsidRDefault="0098036C" w:rsidP="0098036C">
      <w:pPr>
        <w:spacing w:after="19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 xml:space="preserve">а) информацию о результатах проведенной оценки рисков нарушения антимонопольного законодательства; </w:t>
      </w:r>
    </w:p>
    <w:p w:rsidR="0098036C" w:rsidRPr="0098036C" w:rsidRDefault="0098036C" w:rsidP="0098036C">
      <w:pPr>
        <w:spacing w:after="19" w:line="257" w:lineRule="auto"/>
        <w:ind w:lef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б)  информацию об исполнении мероприятий по снижению рисков нарушений антимонопольного законодательства;</w:t>
      </w:r>
    </w:p>
    <w:p w:rsidR="0098036C" w:rsidRPr="0098036C" w:rsidRDefault="0098036C" w:rsidP="0098036C">
      <w:pPr>
        <w:spacing w:after="28" w:line="257" w:lineRule="auto"/>
        <w:ind w:left="14" w:right="14" w:firstLine="840"/>
        <w:jc w:val="both"/>
        <w:rPr>
          <w:color w:val="000000"/>
          <w:sz w:val="26"/>
          <w:szCs w:val="22"/>
          <w:lang w:eastAsia="en-US"/>
        </w:rPr>
      </w:pPr>
      <w:r w:rsidRPr="0098036C">
        <w:rPr>
          <w:color w:val="000000"/>
          <w:sz w:val="26"/>
          <w:szCs w:val="22"/>
          <w:lang w:eastAsia="en-US"/>
        </w:rPr>
        <w:t>в) информацию о достижении ключевых показателей эффективности антимонопольного комплаенса.</w:t>
      </w:r>
    </w:p>
    <w:p w:rsidR="0098036C" w:rsidRPr="00686551" w:rsidRDefault="0098036C" w:rsidP="00686551">
      <w:pPr>
        <w:numPr>
          <w:ilvl w:val="0"/>
          <w:numId w:val="37"/>
        </w:numPr>
        <w:spacing w:after="200" w:line="276" w:lineRule="auto"/>
        <w:ind w:left="14" w:right="14" w:firstLine="840"/>
        <w:jc w:val="both"/>
      </w:pPr>
      <w:r w:rsidRPr="0098036C">
        <w:rPr>
          <w:color w:val="000000"/>
          <w:sz w:val="26"/>
          <w:szCs w:val="22"/>
          <w:lang w:eastAsia="en-US"/>
        </w:rPr>
        <w:t>Доклад об антимонопольном комплаенсе, утвержденный Коллегиальным органом, размещается на официальном сайте Чукотского автономного округа в сети «Интернет» в течение месяца с момента его утверждения.</w:t>
      </w:r>
    </w:p>
    <w:sectPr w:rsidR="0098036C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6B" w:rsidRDefault="0078566B">
      <w:r>
        <w:separator/>
      </w:r>
    </w:p>
  </w:endnote>
  <w:endnote w:type="continuationSeparator" w:id="0">
    <w:p w:rsidR="0078566B" w:rsidRDefault="0078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6B" w:rsidRDefault="0078566B">
      <w:r>
        <w:separator/>
      </w:r>
    </w:p>
  </w:footnote>
  <w:footnote w:type="continuationSeparator" w:id="0">
    <w:p w:rsidR="0078566B" w:rsidRDefault="0078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519"/>
    <w:multiLevelType w:val="hybridMultilevel"/>
    <w:tmpl w:val="789C9392"/>
    <w:lvl w:ilvl="0" w:tplc="01B6DA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384128D"/>
    <w:multiLevelType w:val="hybridMultilevel"/>
    <w:tmpl w:val="62943A20"/>
    <w:lvl w:ilvl="0" w:tplc="B5A4E944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45E2B"/>
    <w:multiLevelType w:val="hybridMultilevel"/>
    <w:tmpl w:val="CDAE2410"/>
    <w:lvl w:ilvl="0" w:tplc="01660FB4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2D694156"/>
    <w:multiLevelType w:val="hybridMultilevel"/>
    <w:tmpl w:val="896EC074"/>
    <w:lvl w:ilvl="0" w:tplc="CBE250B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7098B6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90D6E0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B6689C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BCAAF6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CEA55E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9CE74E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94B726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EE0C3A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E3509C"/>
    <w:multiLevelType w:val="hybridMultilevel"/>
    <w:tmpl w:val="731200AE"/>
    <w:lvl w:ilvl="0" w:tplc="DB026A1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C4B"/>
    <w:multiLevelType w:val="hybridMultilevel"/>
    <w:tmpl w:val="06D204A0"/>
    <w:lvl w:ilvl="0" w:tplc="E4947E0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E29D3E">
      <w:start w:val="1"/>
      <w:numFmt w:val="lowerLetter"/>
      <w:lvlText w:val="%2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C450B8">
      <w:start w:val="1"/>
      <w:numFmt w:val="lowerRoman"/>
      <w:lvlText w:val="%3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E4EBA">
      <w:start w:val="1"/>
      <w:numFmt w:val="decimal"/>
      <w:lvlText w:val="%4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C89AC">
      <w:start w:val="1"/>
      <w:numFmt w:val="lowerLetter"/>
      <w:lvlText w:val="%5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C1F6">
      <w:start w:val="1"/>
      <w:numFmt w:val="lowerRoman"/>
      <w:lvlText w:val="%6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7C102C">
      <w:start w:val="1"/>
      <w:numFmt w:val="decimal"/>
      <w:lvlText w:val="%7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9CFF66">
      <w:start w:val="1"/>
      <w:numFmt w:val="lowerLetter"/>
      <w:lvlText w:val="%8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D0BF74">
      <w:start w:val="1"/>
      <w:numFmt w:val="lowerRoman"/>
      <w:lvlText w:val="%9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2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2">
    <w:nsid w:val="4ACB1DEE"/>
    <w:multiLevelType w:val="hybridMultilevel"/>
    <w:tmpl w:val="F0C08B0E"/>
    <w:lvl w:ilvl="0" w:tplc="22E89F7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10875A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88E068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8ED49E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240358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34123E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2469CC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ACDF18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9A3436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C845EA0"/>
    <w:multiLevelType w:val="hybridMultilevel"/>
    <w:tmpl w:val="D794CCBA"/>
    <w:lvl w:ilvl="0" w:tplc="72DA71D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E2C0FE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C66208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CE5422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3A6BE8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14915E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4A1068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C2131C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A8D274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729EE"/>
    <w:multiLevelType w:val="hybridMultilevel"/>
    <w:tmpl w:val="B920B7FE"/>
    <w:lvl w:ilvl="0" w:tplc="FCF8787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78F31C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BEEA04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A65D7C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B4617C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ECC036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C68700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EA369C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BA623C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5">
    <w:nsid w:val="795037F1"/>
    <w:multiLevelType w:val="hybridMultilevel"/>
    <w:tmpl w:val="90023346"/>
    <w:lvl w:ilvl="0" w:tplc="8C96FE1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D41BCC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3EE024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A6300A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7AE0CC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684E44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CE7BBE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8EC6C0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EC1B20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6"/>
  </w:num>
  <w:num w:numId="4">
    <w:abstractNumId w:val="17"/>
  </w:num>
  <w:num w:numId="5">
    <w:abstractNumId w:val="30"/>
  </w:num>
  <w:num w:numId="6">
    <w:abstractNumId w:val="4"/>
  </w:num>
  <w:num w:numId="7">
    <w:abstractNumId w:val="14"/>
  </w:num>
  <w:num w:numId="8">
    <w:abstractNumId w:val="24"/>
  </w:num>
  <w:num w:numId="9">
    <w:abstractNumId w:val="31"/>
  </w:num>
  <w:num w:numId="10">
    <w:abstractNumId w:val="29"/>
  </w:num>
  <w:num w:numId="11">
    <w:abstractNumId w:val="23"/>
  </w:num>
  <w:num w:numId="12">
    <w:abstractNumId w:val="6"/>
  </w:num>
  <w:num w:numId="13">
    <w:abstractNumId w:val="33"/>
  </w:num>
  <w:num w:numId="14">
    <w:abstractNumId w:val="20"/>
  </w:num>
  <w:num w:numId="15">
    <w:abstractNumId w:val="34"/>
  </w:num>
  <w:num w:numId="16">
    <w:abstractNumId w:val="27"/>
  </w:num>
  <w:num w:numId="17">
    <w:abstractNumId w:val="8"/>
  </w:num>
  <w:num w:numId="18">
    <w:abstractNumId w:val="18"/>
  </w:num>
  <w:num w:numId="19">
    <w:abstractNumId w:val="21"/>
  </w:num>
  <w:num w:numId="20">
    <w:abstractNumId w:val="25"/>
  </w:num>
  <w:num w:numId="21">
    <w:abstractNumId w:val="11"/>
  </w:num>
  <w:num w:numId="22">
    <w:abstractNumId w:val="2"/>
  </w:num>
  <w:num w:numId="23">
    <w:abstractNumId w:val="3"/>
  </w:num>
  <w:num w:numId="24">
    <w:abstractNumId w:val="12"/>
  </w:num>
  <w:num w:numId="25">
    <w:abstractNumId w:val="19"/>
  </w:num>
  <w:num w:numId="26">
    <w:abstractNumId w:val="32"/>
  </w:num>
  <w:num w:numId="27">
    <w:abstractNumId w:val="16"/>
  </w:num>
  <w:num w:numId="28">
    <w:abstractNumId w:val="22"/>
  </w:num>
  <w:num w:numId="29">
    <w:abstractNumId w:val="28"/>
  </w:num>
  <w:num w:numId="30">
    <w:abstractNumId w:val="35"/>
  </w:num>
  <w:num w:numId="31">
    <w:abstractNumId w:val="26"/>
  </w:num>
  <w:num w:numId="32">
    <w:abstractNumId w:val="10"/>
  </w:num>
  <w:num w:numId="33">
    <w:abstractNumId w:val="15"/>
  </w:num>
  <w:num w:numId="34">
    <w:abstractNumId w:val="0"/>
  </w:num>
  <w:num w:numId="35">
    <w:abstractNumId w:val="13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2CD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34F9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66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036C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24FD7-3D02-481A-947A-750E634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6348-D001-4347-8846-B8A87F0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1923</Words>
  <Characters>15691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2022-02-17T02:50:00Z</dcterms:created>
  <dcterms:modified xsi:type="dcterms:W3CDTF">2022-02-17T02:57:00Z</dcterms:modified>
</cp:coreProperties>
</file>