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4" w:name="_GoBack"/>
      <w:bookmarkEnd w:id="4"/>
    </w:p>
    <w:p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2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jc w:val="center"/>
        </w:trPr>
        <w:tc>
          <w:tcPr>
            <w:tcW w:w="10085" w:type="dxa"/>
          </w:tcPr>
          <w:p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2"/>
        <w:keepNext w:val="0"/>
        <w:spacing w:after="0" w:line="240" w:lineRule="auto"/>
        <w:rPr>
          <w:b w:val="0"/>
          <w:szCs w:val="28"/>
          <w:lang w:val="ru-RU"/>
        </w:rPr>
      </w:pPr>
    </w:p>
    <w:p>
      <w:pPr>
        <w:pStyle w:val="2"/>
        <w:keepNext w:val="0"/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spacing w:after="0" w:line="240" w:lineRule="auto"/>
        <w:rPr>
          <w:lang w:eastAsia="zh-CN"/>
        </w:rPr>
      </w:pPr>
    </w:p>
    <w:p>
      <w:pPr>
        <w:spacing w:after="0" w:line="240" w:lineRule="auto"/>
        <w:rPr>
          <w:lang w:eastAsia="zh-CN"/>
        </w:rPr>
      </w:pPr>
    </w:p>
    <w:tbl>
      <w:tblPr>
        <w:tblStyle w:val="23"/>
        <w:tblW w:w="9692" w:type="dxa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260"/>
        <w:gridCol w:w="236"/>
        <w:gridCol w:w="608"/>
        <w:gridCol w:w="1126"/>
        <w:gridCol w:w="3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pStyle w:val="14"/>
              <w:tabs>
                <w:tab w:val="left" w:pos="708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>
            <w:pPr>
              <w:pStyle w:val="14"/>
              <w:tabs>
                <w:tab w:val="left" w:pos="708"/>
              </w:tabs>
              <w:spacing w:after="0" w:line="240" w:lineRule="auto"/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>30.12.2019</w:t>
            </w:r>
          </w:p>
        </w:tc>
        <w:tc>
          <w:tcPr>
            <w:tcW w:w="236" w:type="dxa"/>
            <w:vAlign w:val="center"/>
          </w:tcPr>
          <w:p>
            <w:pPr>
              <w:pStyle w:val="14"/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14"/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>
            <w:pPr>
              <w:pStyle w:val="14"/>
              <w:tabs>
                <w:tab w:val="left" w:pos="708"/>
              </w:tabs>
              <w:spacing w:after="0" w:line="240" w:lineRule="auto"/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>1602</w:t>
            </w:r>
          </w:p>
        </w:tc>
        <w:tc>
          <w:tcPr>
            <w:tcW w:w="3858" w:type="dxa"/>
            <w:vAlign w:val="center"/>
          </w:tcPr>
          <w:p>
            <w:pPr>
              <w:pStyle w:val="14"/>
              <w:tabs>
                <w:tab w:val="left" w:pos="708"/>
              </w:tabs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spacing w:after="0" w:line="240" w:lineRule="auto"/>
        <w:jc w:val="both"/>
        <w:outlineLvl w:val="2"/>
        <w:rPr>
          <w:sz w:val="26"/>
          <w:szCs w:val="26"/>
        </w:rPr>
      </w:pPr>
    </w:p>
    <w:p>
      <w:pPr>
        <w:spacing w:after="0" w:line="240" w:lineRule="auto"/>
        <w:jc w:val="both"/>
        <w:outlineLvl w:val="2"/>
        <w:rPr>
          <w:sz w:val="26"/>
          <w:szCs w:val="26"/>
        </w:rPr>
      </w:pPr>
    </w:p>
    <w:tbl>
      <w:tblPr>
        <w:tblStyle w:val="2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6"/>
        <w:gridCol w:w="4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6" w:type="dxa"/>
          </w:tcPr>
          <w:p>
            <w:pPr>
              <w:spacing w:after="0" w:line="240" w:lineRule="auto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ключевых показателей и Методики расчета ключевых показателей эффективности функционирования антимонопольного комплаенса в Департаменте социальной политики Чукотского автономного округа </w:t>
            </w:r>
          </w:p>
        </w:tc>
        <w:tc>
          <w:tcPr>
            <w:tcW w:w="4856" w:type="dxa"/>
          </w:tcPr>
          <w:p>
            <w:pPr>
              <w:spacing w:after="0" w:line="240" w:lineRule="auto"/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both"/>
        <w:outlineLvl w:val="2"/>
        <w:rPr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пунктом 29 распоряжения Правительства Российской Федерации от 18 октября 2018 года № 2258-р и приказа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 </w:t>
      </w:r>
    </w:p>
    <w:p>
      <w:pPr>
        <w:pStyle w:val="16"/>
        <w:spacing w:after="0" w:line="240" w:lineRule="auto"/>
        <w:ind w:firstLine="851"/>
        <w:rPr>
          <w:b/>
          <w:sz w:val="28"/>
          <w:szCs w:val="28"/>
        </w:rPr>
      </w:pPr>
    </w:p>
    <w:p>
      <w:pPr>
        <w:pStyle w:val="16"/>
        <w:spacing w:after="0"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ключевые показатели эффективности функционирования в Департаменте социальной политики Чукотского автономного округа антимонопольного комплаенса </w:t>
      </w:r>
      <w:r>
        <w:rPr>
          <w:bCs/>
          <w:sz w:val="26"/>
          <w:szCs w:val="26"/>
        </w:rPr>
        <w:t>согласно приложению к настоящему приказу</w:t>
      </w:r>
      <w:r>
        <w:rPr>
          <w:sz w:val="26"/>
          <w:szCs w:val="26"/>
        </w:rPr>
        <w:t>.</w:t>
      </w: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Методику расчета ключевых показателей эффективности функционирования в Департаменте социальной политики Чукотского автономного округа антимонопольного комплаенса </w:t>
      </w:r>
      <w:r>
        <w:rPr>
          <w:bCs/>
          <w:sz w:val="26"/>
          <w:szCs w:val="26"/>
        </w:rPr>
        <w:t>согласно приложению к настоящему приказу</w:t>
      </w:r>
      <w:r>
        <w:rPr>
          <w:sz w:val="26"/>
          <w:szCs w:val="26"/>
        </w:rPr>
        <w:t>.</w:t>
      </w: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Отделу административно-организационной и правовой работы Департамента социальной политики Чукотского автономного округа обеспечить ознакомление начальников структурных подразделений и самостоятельных отделов Департамента с настоящим приказом.</w:t>
      </w: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Контроль за исполнением настоящего приказа оставляю за собой.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bookmarkEnd w:id="0"/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39"/>
        <w:widowControl/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>
      <w:pPr>
        <w:pStyle w:val="39"/>
        <w:widowControl/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</w:p>
    <w:p>
      <w:pPr>
        <w:pStyle w:val="39"/>
        <w:widowControl/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политики </w:t>
      </w:r>
    </w:p>
    <w:p>
      <w:pPr>
        <w:pStyle w:val="39"/>
        <w:widowControl/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>
      <w:pPr>
        <w:pStyle w:val="39"/>
        <w:widowControl/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 2019 № ___</w:t>
      </w:r>
    </w:p>
    <w:p>
      <w:pPr>
        <w:pStyle w:val="39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</w:pPr>
      <w:bookmarkStart w:id="1" w:name="P32"/>
      <w:bookmarkEnd w:id="1"/>
    </w:p>
    <w:p>
      <w:pPr>
        <w:pStyle w:val="28"/>
        <w:widowControl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Ключевые показатели эффективности функционирования </w:t>
      </w:r>
    </w:p>
    <w:p>
      <w:pPr>
        <w:pStyle w:val="28"/>
        <w:widowControl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 Департаменте социальной политики Чукотского автономного округа антимонопольного комплаенса</w:t>
      </w:r>
    </w:p>
    <w:p>
      <w:pPr>
        <w:spacing w:after="0" w:line="240" w:lineRule="auto"/>
        <w:rPr>
          <w:sz w:val="26"/>
          <w:szCs w:val="26"/>
        </w:rPr>
      </w:pPr>
    </w:p>
    <w:tbl>
      <w:tblPr>
        <w:tblStyle w:val="23"/>
        <w:tblW w:w="98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27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2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2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2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Значение показателя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pStyle w:val="29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pStyle w:val="3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Коэффициент снижения количества нарушений </w:t>
            </w:r>
            <w:r>
              <w:fldChar w:fldCharType="begin"/>
            </w:r>
            <w:r>
              <w:instrText xml:space="preserve"> HYPERLINK "garantF1://12048517.2" </w:instrText>
            </w:r>
            <w:r>
              <w:fldChar w:fldCharType="separate"/>
            </w:r>
            <w:r>
              <w:rPr>
                <w:rStyle w:val="26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антимонопольного законодательства</w:t>
            </w:r>
            <w:r>
              <w:rPr>
                <w:rStyle w:val="26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fldChar w:fldCharType="end"/>
            </w:r>
            <w:r>
              <w:rPr>
                <w:rStyle w:val="26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 стороны Департамента (по сравнению с предыдущим периодом)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pStyle w:val="29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pStyle w:val="29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pStyle w:val="3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проектов нормативных правовых актов Департамента, разработчиком которых является Департамент, в которых выявлены риски нарушения </w:t>
            </w:r>
            <w:r>
              <w:fldChar w:fldCharType="begin"/>
            </w:r>
            <w:r>
              <w:instrText xml:space="preserve"> HYPERLINK "garantF1://12048517.2" </w:instrText>
            </w:r>
            <w:r>
              <w:fldChar w:fldCharType="separate"/>
            </w:r>
            <w:r>
              <w:rPr>
                <w:rStyle w:val="26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антимонопольного законодательства</w:t>
            </w:r>
            <w:r>
              <w:rPr>
                <w:rStyle w:val="26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fldChar w:fldCharType="end"/>
            </w:r>
            <w:r>
              <w:rPr>
                <w:rStyle w:val="26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pStyle w:val="29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pStyle w:val="29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pStyle w:val="3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нормативных правовых актов Департамента, разработчиком которых является Департамент, в которых выявлены риски нарушения </w:t>
            </w:r>
            <w:r>
              <w:fldChar w:fldCharType="begin"/>
            </w:r>
            <w:r>
              <w:instrText xml:space="preserve"> HYPERLINK "garantF1://12048517.2" </w:instrText>
            </w:r>
            <w:r>
              <w:fldChar w:fldCharType="separate"/>
            </w:r>
            <w:r>
              <w:rPr>
                <w:rStyle w:val="26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антимонопольного законодательства</w:t>
            </w:r>
            <w:r>
              <w:rPr>
                <w:rStyle w:val="26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pStyle w:val="29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pStyle w:val="39"/>
        <w:widowControl/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>
      <w:pPr>
        <w:pStyle w:val="39"/>
        <w:widowControl/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</w:p>
    <w:p>
      <w:pPr>
        <w:pStyle w:val="39"/>
        <w:widowControl/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политики </w:t>
      </w:r>
    </w:p>
    <w:p>
      <w:pPr>
        <w:pStyle w:val="39"/>
        <w:widowControl/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>
      <w:pPr>
        <w:pStyle w:val="39"/>
        <w:widowControl/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 2019 № ___</w:t>
      </w:r>
    </w:p>
    <w:p>
      <w:pPr>
        <w:pStyle w:val="39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8"/>
        <w:widowControl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Методика расчёта ключевых показателей эффективности функционирования</w:t>
      </w:r>
    </w:p>
    <w:p>
      <w:pPr>
        <w:pStyle w:val="28"/>
        <w:widowControl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 Департаменте социальной политики Чукотского автономного округа</w:t>
      </w:r>
    </w:p>
    <w:p>
      <w:pPr>
        <w:pStyle w:val="28"/>
        <w:widowControl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антимонопольного комплаенса</w:t>
      </w:r>
    </w:p>
    <w:p>
      <w:pPr>
        <w:pStyle w:val="39"/>
        <w:widowControl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28"/>
        <w:widowControl/>
        <w:spacing w:after="0" w:line="240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>
      <w:pPr>
        <w:pStyle w:val="39"/>
        <w:widowControl/>
        <w:numPr>
          <w:ilvl w:val="0"/>
          <w:numId w:val="2"/>
        </w:numPr>
        <w:spacing w:after="0" w:line="240" w:lineRule="auto"/>
        <w:ind w:firstLine="717" w:firstLineChars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расчета ключевых показателей эффективности функционирования в Департаменте социальной политики Чукотского автономного округа (далее - Департамент) антимонопольного комплаенса (далее - Методика) разработана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- Методические рекомендации).</w:t>
      </w:r>
    </w:p>
    <w:p>
      <w:pPr>
        <w:pStyle w:val="39"/>
        <w:widowControl/>
        <w:spacing w:after="0" w:line="240" w:lineRule="auto"/>
        <w:ind w:firstLine="717" w:firstLineChars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В целях оценки эффективности функционирования в Департаменте антимонопольного комплаенса в соответствии с Методикой рассчитываются ключевые показатели эффективности антимонопольного комплаенса (далее - КПЭ)для уполномоченного подразделения(отдела административно-организационной и правовой работы), структурных подразделений Департамента и для Департамента в целом.</w:t>
      </w:r>
    </w:p>
    <w:p>
      <w:pPr>
        <w:pStyle w:val="39"/>
        <w:widowControl/>
        <w:spacing w:after="0" w:line="240" w:lineRule="auto"/>
        <w:ind w:firstLine="717" w:firstLineChars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Ключевые показатели эффективности и критерии их оценки утверждаются, изменяются и дополняются по мере необходимости.</w:t>
      </w:r>
    </w:p>
    <w:p>
      <w:pPr>
        <w:spacing w:after="0" w:line="240" w:lineRule="auto"/>
        <w:ind w:firstLine="717" w:firstLineChars="276"/>
        <w:jc w:val="both"/>
        <w:rPr>
          <w:sz w:val="26"/>
          <w:szCs w:val="26"/>
        </w:rPr>
      </w:pPr>
      <w:bookmarkStart w:id="2" w:name="sub_102"/>
      <w:r>
        <w:rPr>
          <w:sz w:val="26"/>
          <w:szCs w:val="26"/>
        </w:rPr>
        <w:t>4. Настоящая Методика расчета ключевых показателей эффективности функционирования антимонопольного комплаенса в Департаменте является внутренним документом Департамента.</w:t>
      </w:r>
    </w:p>
    <w:bookmarkEnd w:id="2"/>
    <w:p>
      <w:pPr>
        <w:spacing w:after="0" w:line="240" w:lineRule="auto"/>
        <w:ind w:firstLine="717" w:firstLineChars="276"/>
        <w:jc w:val="both"/>
        <w:rPr>
          <w:sz w:val="26"/>
          <w:szCs w:val="26"/>
        </w:rPr>
      </w:pPr>
      <w:bookmarkStart w:id="3" w:name="sub_103"/>
      <w:r>
        <w:rPr>
          <w:sz w:val="26"/>
          <w:szCs w:val="26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bookmarkEnd w:id="3"/>
    <w:p>
      <w:pPr>
        <w:pStyle w:val="39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28"/>
        <w:widowControl/>
        <w:spacing w:after="0" w:line="240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II. Методика расчета КПЭ для Департамента в целом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Ключевыми показателями эффективности антимонопольного комплаенса для Департамента в целом являются:   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а) коэффициент снижения количества нарушений антимонопольного законодательства со стороны Департамента (по сравнению с предыдущим годом);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б) доля проектов нормативных правовых актов Департамента, разработчиком которых является Департамент, в которых выявлены риски нарушения антимонопольного законодательства;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в) доля нормативных правовых актов Департамента, разработчиком которых является Департамент, в которых выявлены риски нарушения антимонопольного законодательства;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Коэффициент снижения количества нарушений антимонопольного законодательства со стороны Департамента (по сравнению с предыдущим годом) рассчитывается по формуле: 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drawing>
          <wp:inline distT="0" distB="0" distL="0" distR="0">
            <wp:extent cx="1179830" cy="652145"/>
            <wp:effectExtent l="0" t="0" r="1270" b="146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11"/>
                    <a:srcRect l="39593" t="58207" r="49366" b="33502"/>
                    <a:stretch>
                      <a:fillRect/>
                    </a:stretch>
                  </pic:blipFill>
                  <pic:spPr>
                    <a:xfrm>
                      <a:off x="0" y="0"/>
                      <a:ext cx="1213505" cy="67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 где: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КСН - коэффициент снижения количества нарушений антимонопольного законодательства со стороны Департамента по сравнению с предыдущим годом;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КН</w:t>
      </w:r>
      <w:r>
        <w:rPr>
          <w:sz w:val="26"/>
          <w:szCs w:val="26"/>
          <w:vertAlign w:val="subscript"/>
        </w:rPr>
        <w:t>пг</w:t>
      </w:r>
      <w:r>
        <w:rPr>
          <w:sz w:val="26"/>
          <w:szCs w:val="26"/>
        </w:rPr>
        <w:t xml:space="preserve"> - количество нарушений антимонопольного законодательства 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>со стороны Департамента в предыдущем году;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КНоп - количество нарушений антимонопольного законодательства 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>со стороны Департамента в отчетном периоде.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При расчете коэффициента снижения количества нарушений антимонопольного законодательства со стороны Департамента под нарушением антимонопольного законодательства со стороны Департамента понимаются: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- возбужденные антимонопольным органом в отношении Департамента антимонопольные дела;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- выданные антимонопольным органом Департаменту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-направленные антимонопольным органом Департаменту предостережения о недопустимости совершения действий, которые могут привести к нарушению антимонопольного законодательства.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8. Доля проектов нормативных правовых актов Департамента, разработчиком которых является Департамент, в которых выявлены риски нарушения антимонопольного законодательства, рассчитывается по формуле: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position w:val="-29"/>
          <w:sz w:val="26"/>
          <w:szCs w:val="26"/>
        </w:rPr>
        <w:drawing>
          <wp:inline distT="0" distB="0" distL="0" distR="0">
            <wp:extent cx="1508125" cy="506095"/>
            <wp:effectExtent l="0" t="0" r="158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4" r="23145"/>
                    <a:stretch>
                      <a:fillRect/>
                    </a:stretch>
                  </pic:blipFill>
                  <pic:spPr>
                    <a:xfrm>
                      <a:off x="0" y="0"/>
                      <a:ext cx="1508338" cy="5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, где: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Дпнпа - доля проектов нормативных правовых актов, в которых выявлены риски нарушения антимонопольного законодательства;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Кпнпа - количество проектов нормативных правовых актов, в которых Департаментом выявлены риски нарушения антимонопольного законодательства (в отчетном периоде);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КНоп - количество нормативных правовых актов, в которых антимонопольным органом выявлены нарушения антимонопольного законодательства (в отчетном периоде).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9. Доля нормативных правовых актов Департамента, разработчиком которых является Департамент, в которых выявлены риски нарушения антимонопольного законодательства, рассчитывается по формуле: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position w:val="-29"/>
          <w:sz w:val="26"/>
          <w:szCs w:val="26"/>
        </w:rPr>
        <w:drawing>
          <wp:inline distT="0" distB="0" distL="0" distR="0">
            <wp:extent cx="1333500" cy="5524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72"/>
                    <a:stretch>
                      <a:fillRect/>
                    </a:stretch>
                  </pic:blipFill>
                  <pic:spPr>
                    <a:xfrm>
                      <a:off x="0" y="0"/>
                      <a:ext cx="1333773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, где 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Днпа - доля нормативных правовых актов, в которых выявлены риски нарушения антимонопольного законодательства;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Кпнпа - количество нормативных правовых актов, в которых Департаментом, выявлены риски нарушения антимонопольного законодательства (в отчетном периоде);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КНоп - количество нормативных правовых актов, в которых антимонопольным органом выявлены нарушения антимонопольного законодательства (в отчетном периоде).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Оценка значений КПЭ для Департамента в целом и КПЭ для уполномоченного подразделения Департамента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10. Оценка значений КПЭ «коэффициент снижения количества нарушений антимонопольного законодательства со стороны Департамента (по сравнению с предыдущим годом)».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Ключевой показатель «коэффициент снижения количества нарушений антимонопольного законодательства со стороны Департамента (по сравнению с предыдущим годом)» соотносится с ключевым показателем мероприятий, предусмотренным </w:t>
      </w:r>
      <w:r>
        <w:fldChar w:fldCharType="begin"/>
      </w:r>
      <w:r>
        <w:instrText xml:space="preserve"> HYPERLINK "consultantplus://offline/ref=2FCC78DC3AB5453FB44C541B26A479B9F285D738D5F2313C5F0D0E4E95121CDD2D12F88C739D1DA8AAD9F448D2DA216F12CD7579758F3ABCh8hCC" </w:instrText>
      </w:r>
      <w:r>
        <w:fldChar w:fldCharType="separate"/>
      </w:r>
      <w:r>
        <w:rPr>
          <w:sz w:val="26"/>
          <w:szCs w:val="26"/>
        </w:rPr>
        <w:t>подпунктом «б» пункта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РФ от 21 декабря 2017 года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Ежегодная оценка значения КПЭ «коэффициент снижения количества нарушений антимонопольного законодательства со стороны Департамента (по сравнению с предыдущим годом)» призвана обеспечить понимание об эффективности функционирования антимонопольного комплаенса в Департаменте и о соответствии мероприятий антимонопольного комплаенса Департамента направлениям совершенствования государственной политики по развитию конкуренции, установленных Национальным </w:t>
      </w:r>
      <w:r>
        <w:fldChar w:fldCharType="begin"/>
      </w:r>
      <w:r>
        <w:instrText xml:space="preserve"> HYPERLINK "consultantplus://offline/ref=2FCC78DC3AB5453FB44C541B26A479B9F285D738D5F2313C5F0D0E4E95121CDD2D12F88C739D1DABADD9F448D2DA216F12CD7579758F3ABCh8hCC" </w:instrText>
      </w:r>
      <w:r>
        <w:fldChar w:fldCharType="separate"/>
      </w:r>
      <w:r>
        <w:rPr>
          <w:sz w:val="26"/>
          <w:szCs w:val="26"/>
        </w:rPr>
        <w:t>планом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11. Оценка значений КПЭ «доля проектов нормативных правовых актов, разработчиком которых является Департамент, в которых выявлены риски нарушения антимонопольного законодательства» и «доля нормативных правовых актов, разработчиком которых является Департамент, в которых выявлены риски нарушения антимонопольного законодательства».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</w:t>
      </w:r>
      <w:r>
        <w:fldChar w:fldCharType="begin"/>
      </w:r>
      <w:r>
        <w:instrText xml:space="preserve"> HYPERLINK "consultantplus://offline/ref=2FCC78DC3AB5453FB44C541B26A479B9F38DDB3CD4F0313C5F0D0E4E95121CDD2D12F88C739D1DA9ABD9F448D2DA216F12CD7579758F3ABCh8hCC" </w:instrText>
      </w:r>
      <w:r>
        <w:fldChar w:fldCharType="separate"/>
      </w:r>
      <w:r>
        <w:rPr>
          <w:sz w:val="26"/>
          <w:szCs w:val="26"/>
        </w:rPr>
        <w:t>подпунктами «б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» и </w:t>
      </w:r>
      <w:r>
        <w:fldChar w:fldCharType="begin"/>
      </w:r>
      <w:r>
        <w:instrText xml:space="preserve"> HYPERLINK "consultantplus://offline/ref=2FCC78DC3AB5453FB44C541B26A479B9F38DDB3CD4F0313C5F0D0E4E95121CDD2D12F88C739D1DA9A8D9F448D2DA216F12CD7579758F3ABCh8hCC" </w:instrText>
      </w:r>
      <w:r>
        <w:fldChar w:fldCharType="separate"/>
      </w:r>
      <w:r>
        <w:rPr>
          <w:sz w:val="26"/>
          <w:szCs w:val="26"/>
        </w:rPr>
        <w:t>«в» пункта 15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Методических рекомендаций.</w:t>
      </w:r>
    </w:p>
    <w:p>
      <w:pPr>
        <w:autoSpaceDE w:val="0"/>
        <w:autoSpaceDN w:val="0"/>
        <w:adjustRightInd w:val="0"/>
        <w:spacing w:after="0" w:line="240" w:lineRule="auto"/>
        <w:ind w:firstLine="717" w:firstLineChars="276"/>
        <w:jc w:val="both"/>
        <w:rPr>
          <w:sz w:val="26"/>
          <w:szCs w:val="26"/>
        </w:rPr>
      </w:pPr>
      <w:r>
        <w:rPr>
          <w:sz w:val="26"/>
          <w:szCs w:val="26"/>
        </w:rPr>
        <w:t>При эффективном проведении мероприятий по анализу нормативных правовых актов, регулирующих сферу деятельности Департамента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актов, регулирующих сферу деятельности Департамента,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комплаенса будут осуществляться в Департаменте.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>
      <w:pPr>
        <w:spacing w:after="0" w:line="240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97" w:right="709" w:bottom="1134" w:left="1559" w:header="709" w:footer="709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AA3F0F"/>
    <w:multiLevelType w:val="singleLevel"/>
    <w:tmpl w:val="9CAA3F0F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3F3045EA"/>
    <w:multiLevelType w:val="multilevel"/>
    <w:tmpl w:val="3F3045EA"/>
    <w:lvl w:ilvl="0" w:tentative="0">
      <w:start w:val="1"/>
      <w:numFmt w:val="decimal"/>
      <w:lvlText w:val="%1."/>
      <w:lvlJc w:val="left"/>
      <w:pPr>
        <w:ind w:left="1146" w:hanging="360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225ADE2"/>
    <w:multiLevelType w:val="singleLevel"/>
    <w:tmpl w:val="6225ADE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567"/>
  <w:drawingGridHorizontalSpacing w:val="120"/>
  <w:displayHorizontalDrawingGridEvery w:val="2"/>
  <w:doNotShadeFormData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2616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2617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1FB9"/>
    <w:rsid w:val="0082366D"/>
    <w:rsid w:val="0082509E"/>
    <w:rsid w:val="008250F9"/>
    <w:rsid w:val="00830756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73125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5AC774D2"/>
    <w:rsid w:val="76C72A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3">
    <w:name w:val="heading 2"/>
    <w:basedOn w:val="1"/>
    <w:next w:val="1"/>
    <w:link w:val="42"/>
    <w:qFormat/>
    <w:uiPriority w:val="0"/>
    <w:pPr>
      <w:keepNext/>
      <w:outlineLvl w:val="1"/>
    </w:pPr>
    <w:rPr>
      <w:sz w:val="28"/>
      <w:szCs w:val="20"/>
      <w:lang w:val="zh-CN" w:eastAsia="zh-CN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7"/>
    <w:basedOn w:val="1"/>
    <w:next w:val="1"/>
    <w:link w:val="43"/>
    <w:qFormat/>
    <w:uiPriority w:val="0"/>
    <w:pPr>
      <w:spacing w:before="240" w:after="60"/>
      <w:outlineLvl w:val="6"/>
    </w:pPr>
    <w:rPr>
      <w:lang w:val="zh-CN" w:eastAsia="zh-CN"/>
    </w:rPr>
  </w:style>
  <w:style w:type="paragraph" w:styleId="7">
    <w:name w:val="heading 8"/>
    <w:basedOn w:val="1"/>
    <w:next w:val="1"/>
    <w:link w:val="44"/>
    <w:qFormat/>
    <w:uiPriority w:val="0"/>
    <w:pPr>
      <w:keepNext/>
      <w:outlineLvl w:val="7"/>
    </w:pPr>
    <w:rPr>
      <w:sz w:val="26"/>
      <w:szCs w:val="20"/>
      <w:lang w:val="zh-CN" w:eastAsia="zh-CN"/>
    </w:rPr>
  </w:style>
  <w:style w:type="paragraph" w:styleId="8">
    <w:name w:val="heading 9"/>
    <w:basedOn w:val="1"/>
    <w:next w:val="1"/>
    <w:link w:val="45"/>
    <w:qFormat/>
    <w:uiPriority w:val="0"/>
    <w:pPr>
      <w:keepNext/>
      <w:jc w:val="right"/>
      <w:outlineLvl w:val="8"/>
    </w:pPr>
    <w:rPr>
      <w:sz w:val="26"/>
      <w:lang w:val="zh-CN" w:eastAsia="zh-CN"/>
    </w:rPr>
  </w:style>
  <w:style w:type="character" w:default="1" w:styleId="20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4"/>
    <w:uiPriority w:val="0"/>
    <w:rPr>
      <w:rFonts w:ascii="Tahoma" w:hAnsi="Tahoma"/>
      <w:sz w:val="16"/>
      <w:szCs w:val="16"/>
      <w:lang w:val="zh-CN" w:eastAsia="zh-CN"/>
    </w:rPr>
  </w:style>
  <w:style w:type="paragraph" w:styleId="10">
    <w:name w:val="Body Text Indent 3"/>
    <w:basedOn w:val="1"/>
    <w:link w:val="47"/>
    <w:qFormat/>
    <w:uiPriority w:val="0"/>
    <w:pPr>
      <w:spacing w:after="120"/>
      <w:ind w:left="283"/>
    </w:pPr>
    <w:rPr>
      <w:sz w:val="16"/>
      <w:szCs w:val="16"/>
      <w:lang w:val="zh-CN" w:eastAsia="zh-CN"/>
    </w:rPr>
  </w:style>
  <w:style w:type="paragraph" w:styleId="11">
    <w:name w:val="caption"/>
    <w:basedOn w:val="1"/>
    <w:next w:val="1"/>
    <w:qFormat/>
    <w:uiPriority w:val="0"/>
    <w:pPr>
      <w:jc w:val="center"/>
    </w:pPr>
    <w:rPr>
      <w:b/>
      <w:sz w:val="28"/>
      <w:szCs w:val="20"/>
    </w:rPr>
  </w:style>
  <w:style w:type="paragraph" w:styleId="12">
    <w:name w:val="annotation text"/>
    <w:basedOn w:val="1"/>
    <w:link w:val="50"/>
    <w:qFormat/>
    <w:uiPriority w:val="0"/>
    <w:rPr>
      <w:sz w:val="20"/>
      <w:szCs w:val="20"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4">
    <w:name w:val="header"/>
    <w:basedOn w:val="1"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Indent"/>
    <w:basedOn w:val="1"/>
    <w:uiPriority w:val="0"/>
    <w:pPr>
      <w:spacing w:line="360" w:lineRule="auto"/>
      <w:ind w:firstLine="630"/>
      <w:jc w:val="both"/>
      <w:outlineLvl w:val="2"/>
    </w:pPr>
    <w:rPr>
      <w:szCs w:val="22"/>
    </w:rPr>
  </w:style>
  <w:style w:type="paragraph" w:styleId="17">
    <w:name w:val="Title"/>
    <w:basedOn w:val="1"/>
    <w:qFormat/>
    <w:uiPriority w:val="0"/>
    <w:pPr>
      <w:jc w:val="center"/>
    </w:pPr>
    <w:rPr>
      <w:sz w:val="28"/>
      <w:szCs w:val="20"/>
    </w:rPr>
  </w:style>
  <w:style w:type="paragraph" w:styleId="18">
    <w:name w:val="footer"/>
    <w:basedOn w:val="1"/>
    <w:link w:val="46"/>
    <w:uiPriority w:val="0"/>
    <w:pPr>
      <w:tabs>
        <w:tab w:val="center" w:pos="4677"/>
        <w:tab w:val="right" w:pos="9355"/>
      </w:tabs>
    </w:pPr>
    <w:rPr>
      <w:lang w:val="zh-CN" w:eastAsia="zh-CN"/>
    </w:rPr>
  </w:style>
  <w:style w:type="paragraph" w:styleId="19">
    <w:name w:val="Body Text 3"/>
    <w:basedOn w:val="1"/>
    <w:link w:val="51"/>
    <w:qFormat/>
    <w:uiPriority w:val="0"/>
    <w:pPr>
      <w:spacing w:after="120"/>
    </w:pPr>
    <w:rPr>
      <w:sz w:val="16"/>
      <w:szCs w:val="16"/>
      <w:lang w:val="zh-CN" w:eastAsia="zh-CN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page number"/>
    <w:basedOn w:val="20"/>
    <w:qFormat/>
    <w:uiPriority w:val="0"/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Heading"/>
    <w:qFormat/>
    <w:uiPriority w:val="0"/>
    <w:pPr>
      <w:autoSpaceDE w:val="0"/>
      <w:autoSpaceDN w:val="0"/>
      <w:adjustRightInd w:val="0"/>
      <w:spacing w:after="200" w:line="276" w:lineRule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character" w:customStyle="1" w:styleId="26">
    <w:name w:val="Гипертекстовая ссылка"/>
    <w:basedOn w:val="27"/>
    <w:qFormat/>
    <w:uiPriority w:val="99"/>
    <w:rPr>
      <w:color w:val="008000"/>
    </w:rPr>
  </w:style>
  <w:style w:type="character" w:customStyle="1" w:styleId="27">
    <w:name w:val="Цветовое выделение"/>
    <w:qFormat/>
    <w:uiPriority w:val="99"/>
    <w:rPr>
      <w:b/>
      <w:bCs/>
      <w:color w:val="000080"/>
    </w:rPr>
  </w:style>
  <w:style w:type="paragraph" w:customStyle="1" w:styleId="28">
    <w:name w:val="ConsPlusTitle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29">
    <w:name w:val="Нормальный (таблица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30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/>
    </w:rPr>
  </w:style>
  <w:style w:type="paragraph" w:customStyle="1" w:styleId="31">
    <w:name w:val="ConsPlusNonforma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PlusCell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eastAsia="Times New Roman" w:cs="Arial"/>
      <w:lang w:val="ru-RU" w:eastAsia="ru-RU" w:bidi="ar-SA"/>
    </w:rPr>
  </w:style>
  <w:style w:type="paragraph" w:customStyle="1" w:styleId="33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4">
    <w:name w:val="Текст выноски Знак"/>
    <w:link w:val="9"/>
    <w:qFormat/>
    <w:uiPriority w:val="0"/>
    <w:rPr>
      <w:rFonts w:ascii="Tahoma" w:hAnsi="Tahoma" w:cs="Tahoma"/>
      <w:sz w:val="16"/>
      <w:szCs w:val="16"/>
    </w:rPr>
  </w:style>
  <w:style w:type="paragraph" w:customStyle="1" w:styleId="35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6">
    <w:name w:val="Не вступил в силу"/>
    <w:qFormat/>
    <w:uiPriority w:val="0"/>
    <w:rPr>
      <w:color w:val="008080"/>
    </w:rPr>
  </w:style>
  <w:style w:type="paragraph" w:styleId="37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38">
    <w:name w:val="Заголовок 1 Знак"/>
    <w:link w:val="2"/>
    <w:qFormat/>
    <w:uiPriority w:val="0"/>
    <w:rPr>
      <w:b/>
      <w:sz w:val="28"/>
    </w:rPr>
  </w:style>
  <w:style w:type="paragraph" w:customStyle="1" w:styleId="39">
    <w:name w:val="ConsPlusNormal"/>
    <w:qFormat/>
    <w:uiPriority w:val="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0">
    <w:name w:val="Font Style40"/>
    <w:qFormat/>
    <w:uiPriority w:val="0"/>
    <w:rPr>
      <w:rFonts w:hint="default" w:ascii="Times New Roman" w:hAnsi="Times New Roman" w:cs="Times New Roman"/>
      <w:sz w:val="22"/>
      <w:szCs w:val="22"/>
    </w:rPr>
  </w:style>
  <w:style w:type="paragraph" w:customStyle="1" w:styleId="41">
    <w:name w:val="Комментарий"/>
    <w:basedOn w:val="1"/>
    <w:next w:val="1"/>
    <w:qFormat/>
    <w:uiPriority w:val="9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42">
    <w:name w:val="Заголовок 2 Знак"/>
    <w:link w:val="3"/>
    <w:qFormat/>
    <w:uiPriority w:val="0"/>
    <w:rPr>
      <w:sz w:val="28"/>
    </w:rPr>
  </w:style>
  <w:style w:type="character" w:customStyle="1" w:styleId="43">
    <w:name w:val="Заголовок 7 Знак"/>
    <w:link w:val="6"/>
    <w:qFormat/>
    <w:uiPriority w:val="0"/>
    <w:rPr>
      <w:sz w:val="24"/>
      <w:szCs w:val="24"/>
    </w:rPr>
  </w:style>
  <w:style w:type="character" w:customStyle="1" w:styleId="44">
    <w:name w:val="Заголовок 8 Знак"/>
    <w:link w:val="7"/>
    <w:qFormat/>
    <w:uiPriority w:val="0"/>
    <w:rPr>
      <w:sz w:val="26"/>
    </w:rPr>
  </w:style>
  <w:style w:type="character" w:customStyle="1" w:styleId="45">
    <w:name w:val="Заголовок 9 Знак"/>
    <w:link w:val="8"/>
    <w:qFormat/>
    <w:uiPriority w:val="0"/>
    <w:rPr>
      <w:sz w:val="26"/>
      <w:szCs w:val="24"/>
    </w:rPr>
  </w:style>
  <w:style w:type="character" w:customStyle="1" w:styleId="46">
    <w:name w:val="Нижний колонтитул Знак"/>
    <w:link w:val="18"/>
    <w:qFormat/>
    <w:uiPriority w:val="0"/>
    <w:rPr>
      <w:sz w:val="24"/>
      <w:szCs w:val="24"/>
    </w:rPr>
  </w:style>
  <w:style w:type="character" w:customStyle="1" w:styleId="47">
    <w:name w:val="Основной текст с отступом 3 Знак"/>
    <w:link w:val="10"/>
    <w:qFormat/>
    <w:uiPriority w:val="0"/>
    <w:rPr>
      <w:sz w:val="16"/>
      <w:szCs w:val="16"/>
    </w:rPr>
  </w:style>
  <w:style w:type="paragraph" w:customStyle="1" w:styleId="48">
    <w:name w:val="Обычный1"/>
    <w:qFormat/>
    <w:uiPriority w:val="0"/>
    <w:pPr>
      <w:widowControl w:val="0"/>
      <w:spacing w:after="200" w:line="300" w:lineRule="auto"/>
      <w:ind w:firstLine="52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49">
    <w:name w:val="ConsNormal"/>
    <w:qFormat/>
    <w:uiPriority w:val="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50">
    <w:name w:val="Текст примечания Знак"/>
    <w:basedOn w:val="20"/>
    <w:link w:val="12"/>
    <w:qFormat/>
    <w:uiPriority w:val="0"/>
  </w:style>
  <w:style w:type="character" w:customStyle="1" w:styleId="51">
    <w:name w:val="Основной текст 3 Знак"/>
    <w:link w:val="19"/>
    <w:qFormat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image" Target="media/image3.wmf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2A302-6B8D-418F-898D-6C7C30C65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Департамент социальной полттики ЧАО</Company>
  <Pages>6</Pages>
  <Words>1632</Words>
  <Characters>9303</Characters>
  <Lines>77</Lines>
  <Paragraphs>21</Paragraphs>
  <TotalTime>4</TotalTime>
  <ScaleCrop>false</ScaleCrop>
  <LinksUpToDate>false</LinksUpToDate>
  <CharactersWithSpaces>10914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cp:lastModifiedBy>org4</cp:lastModifiedBy>
  <cp:lastPrinted>2015-10-26T23:56:00Z</cp:lastPrinted>
  <dcterms:modified xsi:type="dcterms:W3CDTF">2020-02-12T05:34:52Z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