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4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415105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 декабря 2023 года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415105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1496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p w:rsidR="008A132A" w:rsidRDefault="008A132A" w:rsidP="005643FC">
      <w:pPr>
        <w:jc w:val="both"/>
        <w:outlineLvl w:val="2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50"/>
      </w:tblGrid>
      <w:tr w:rsidR="005643FC" w:rsidRPr="009316C1" w:rsidTr="008A132A">
        <w:tc>
          <w:tcPr>
            <w:tcW w:w="6062" w:type="dxa"/>
          </w:tcPr>
          <w:p w:rsidR="005643FC" w:rsidRPr="009316C1" w:rsidRDefault="008A132A" w:rsidP="00307725">
            <w:pPr>
              <w:jc w:val="both"/>
              <w:outlineLvl w:val="2"/>
              <w:rPr>
                <w:sz w:val="26"/>
                <w:szCs w:val="26"/>
              </w:rPr>
            </w:pPr>
            <w:bookmarkStart w:id="0" w:name="_Hlk153897067"/>
            <w:bookmarkStart w:id="1" w:name="_GoBack"/>
            <w:r w:rsidRPr="00E7314F">
              <w:rPr>
                <w:sz w:val="26"/>
                <w:szCs w:val="26"/>
              </w:rPr>
              <w:t>Об утверждении карты рисков нарушения антимонопольного законодательства Департамента социальной политики Чукотского автономного округа на 202</w:t>
            </w:r>
            <w:r w:rsidR="00F97BC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E7314F">
              <w:rPr>
                <w:sz w:val="26"/>
                <w:szCs w:val="26"/>
              </w:rPr>
              <w:t>год</w:t>
            </w:r>
            <w:bookmarkEnd w:id="0"/>
            <w:bookmarkEnd w:id="1"/>
          </w:p>
        </w:tc>
        <w:tc>
          <w:tcPr>
            <w:tcW w:w="3650" w:type="dxa"/>
          </w:tcPr>
          <w:p w:rsidR="005643FC" w:rsidRPr="009316C1" w:rsidRDefault="005643FC" w:rsidP="0008070D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5643FC" w:rsidRDefault="005643FC" w:rsidP="005643FC">
      <w:pPr>
        <w:jc w:val="both"/>
        <w:rPr>
          <w:sz w:val="28"/>
          <w:szCs w:val="28"/>
        </w:rPr>
      </w:pPr>
    </w:p>
    <w:p w:rsidR="008A132A" w:rsidRPr="000D2735" w:rsidRDefault="008A132A" w:rsidP="005643FC">
      <w:pPr>
        <w:jc w:val="both"/>
        <w:rPr>
          <w:sz w:val="28"/>
          <w:szCs w:val="28"/>
        </w:rPr>
      </w:pPr>
    </w:p>
    <w:p w:rsidR="003D2DD3" w:rsidRDefault="008A132A" w:rsidP="008A132A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утверждёнными Распоряжением Правительства Российской Федерации от 18 октября 2018 года №</w:t>
      </w:r>
      <w:r w:rsidR="001D481C">
        <w:rPr>
          <w:sz w:val="26"/>
          <w:szCs w:val="26"/>
        </w:rPr>
        <w:t> </w:t>
      </w:r>
      <w:r w:rsidRPr="008A6C5B">
        <w:rPr>
          <w:sz w:val="26"/>
          <w:szCs w:val="26"/>
        </w:rPr>
        <w:t>2258-р</w:t>
      </w:r>
      <w:r w:rsidR="00BB3ADD">
        <w:rPr>
          <w:sz w:val="26"/>
          <w:szCs w:val="26"/>
        </w:rPr>
        <w:t xml:space="preserve">, </w:t>
      </w:r>
      <w:r w:rsidRPr="008A6C5B">
        <w:rPr>
          <w:sz w:val="26"/>
          <w:szCs w:val="26"/>
        </w:rPr>
        <w:t>Приказом Департамента социальной политики Чукотского автономного округа от 27 февраля 2019 года № 325 «О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округа»,</w:t>
      </w:r>
    </w:p>
    <w:p w:rsidR="008A132A" w:rsidRPr="000D2735" w:rsidRDefault="008A132A" w:rsidP="005643FC">
      <w:pPr>
        <w:rPr>
          <w:sz w:val="28"/>
          <w:szCs w:val="28"/>
        </w:rPr>
      </w:pPr>
    </w:p>
    <w:p w:rsidR="005643FC" w:rsidRPr="000D2735" w:rsidRDefault="005643FC" w:rsidP="005643FC">
      <w:pPr>
        <w:pStyle w:val="a8"/>
        <w:spacing w:line="240" w:lineRule="auto"/>
        <w:ind w:firstLine="0"/>
        <w:rPr>
          <w:b/>
          <w:spacing w:val="20"/>
          <w:sz w:val="28"/>
          <w:szCs w:val="28"/>
        </w:rPr>
      </w:pPr>
      <w:r w:rsidRPr="000D2735">
        <w:rPr>
          <w:b/>
          <w:spacing w:val="20"/>
          <w:sz w:val="28"/>
          <w:szCs w:val="28"/>
        </w:rPr>
        <w:t>ПРИКАЗЫВАЮ:</w:t>
      </w:r>
    </w:p>
    <w:p w:rsidR="005643FC" w:rsidRPr="000D2735" w:rsidRDefault="005643FC" w:rsidP="005643FC">
      <w:pPr>
        <w:rPr>
          <w:sz w:val="28"/>
          <w:szCs w:val="28"/>
        </w:rPr>
      </w:pPr>
    </w:p>
    <w:p w:rsidR="008A132A" w:rsidRPr="008A6C5B" w:rsidRDefault="008A132A" w:rsidP="008A132A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1. Утвердить прилагаем</w:t>
      </w:r>
      <w:r>
        <w:rPr>
          <w:sz w:val="26"/>
          <w:szCs w:val="26"/>
        </w:rPr>
        <w:t xml:space="preserve">ую карту рисков нарушения антимонопольного законодательства </w:t>
      </w:r>
      <w:r w:rsidRPr="008A6C5B">
        <w:rPr>
          <w:sz w:val="26"/>
          <w:szCs w:val="26"/>
        </w:rPr>
        <w:t>Департамента социальной политики Чукотского автономного округа (далее – Департамент) на 202</w:t>
      </w:r>
      <w:r w:rsidR="00F97BC8">
        <w:rPr>
          <w:sz w:val="26"/>
          <w:szCs w:val="26"/>
        </w:rPr>
        <w:t>4</w:t>
      </w:r>
      <w:r w:rsidRPr="008A6C5B">
        <w:rPr>
          <w:sz w:val="26"/>
          <w:szCs w:val="26"/>
        </w:rPr>
        <w:t xml:space="preserve"> год.</w:t>
      </w:r>
    </w:p>
    <w:p w:rsidR="008A132A" w:rsidRPr="008A6C5B" w:rsidRDefault="008A132A" w:rsidP="008A132A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2. Отделу административно-организационной и правовой работы Департамента (</w:t>
      </w:r>
      <w:r w:rsidR="00F97BC8">
        <w:rPr>
          <w:sz w:val="26"/>
          <w:szCs w:val="26"/>
        </w:rPr>
        <w:t>Пашковой О.О.</w:t>
      </w:r>
      <w:r w:rsidRPr="008A6C5B">
        <w:rPr>
          <w:sz w:val="26"/>
          <w:szCs w:val="26"/>
        </w:rPr>
        <w:t>):</w:t>
      </w:r>
    </w:p>
    <w:p w:rsidR="008A132A" w:rsidRPr="008A6C5B" w:rsidRDefault="008A132A" w:rsidP="008A132A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 xml:space="preserve">1) разместить настоящий приказ на официальном сайте Департамента </w:t>
      </w:r>
      <w:r w:rsidR="00F97BC8">
        <w:rPr>
          <w:sz w:val="26"/>
          <w:szCs w:val="26"/>
        </w:rPr>
        <w:br/>
      </w:r>
      <w:r w:rsidRPr="008A6C5B">
        <w:rPr>
          <w:sz w:val="26"/>
          <w:szCs w:val="26"/>
        </w:rPr>
        <w:t>в</w:t>
      </w:r>
      <w:r w:rsidR="00416FEA">
        <w:rPr>
          <w:sz w:val="26"/>
          <w:szCs w:val="26"/>
        </w:rPr>
        <w:t xml:space="preserve"> информационно-телекоммуникационной </w:t>
      </w:r>
      <w:r w:rsidRPr="008A6C5B">
        <w:rPr>
          <w:sz w:val="26"/>
          <w:szCs w:val="26"/>
        </w:rPr>
        <w:t>сети «Интернет»;</w:t>
      </w:r>
    </w:p>
    <w:p w:rsidR="008A132A" w:rsidRPr="008A6C5B" w:rsidRDefault="008A132A" w:rsidP="008A132A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2) обеспечить ознакомление с настоящим приказом начальников структурных подразделений</w:t>
      </w:r>
      <w:r w:rsidR="00BB3ADD">
        <w:rPr>
          <w:sz w:val="26"/>
          <w:szCs w:val="26"/>
        </w:rPr>
        <w:t xml:space="preserve"> </w:t>
      </w:r>
      <w:r w:rsidRPr="008A6C5B">
        <w:rPr>
          <w:sz w:val="26"/>
          <w:szCs w:val="26"/>
        </w:rPr>
        <w:t>Департамента.</w:t>
      </w:r>
    </w:p>
    <w:p w:rsidR="008A132A" w:rsidRPr="008A6C5B" w:rsidRDefault="008A132A" w:rsidP="008A132A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3. Контроль за исполнением настоящего приказа оставляю за собой.</w:t>
      </w: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0D2735" w:rsidRPr="000D2735" w:rsidRDefault="000D2735" w:rsidP="000D2735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FC" w:rsidRDefault="005643FC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8A132A" w:rsidRDefault="008A132A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8A132A" w:rsidRDefault="008A132A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8A132A" w:rsidRDefault="008A132A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8A132A" w:rsidRDefault="008A132A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8A132A" w:rsidRDefault="008A132A" w:rsidP="00C05885">
      <w:pPr>
        <w:pStyle w:val="3"/>
        <w:spacing w:after="0"/>
        <w:ind w:left="709" w:firstLine="851"/>
        <w:jc w:val="both"/>
        <w:rPr>
          <w:sz w:val="28"/>
          <w:szCs w:val="28"/>
        </w:rPr>
        <w:sectPr w:rsidR="008A132A" w:rsidSect="005643FC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tbl>
      <w:tblPr>
        <w:tblStyle w:val="a5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A132A" w:rsidRPr="008A6C5B" w:rsidTr="008A132A">
        <w:trPr>
          <w:trHeight w:val="1251"/>
        </w:trPr>
        <w:tc>
          <w:tcPr>
            <w:tcW w:w="4820" w:type="dxa"/>
          </w:tcPr>
          <w:p w:rsidR="008A132A" w:rsidRPr="008A6C5B" w:rsidRDefault="008A132A" w:rsidP="002B3191">
            <w:pPr>
              <w:jc w:val="center"/>
              <w:outlineLvl w:val="2"/>
            </w:pPr>
            <w:r w:rsidRPr="008A6C5B">
              <w:lastRenderedPageBreak/>
              <w:t>УТВЕРЖД</w:t>
            </w:r>
            <w:r>
              <w:t>ЕНА</w:t>
            </w:r>
          </w:p>
          <w:p w:rsidR="008A132A" w:rsidRPr="008A6C5B" w:rsidRDefault="008A132A" w:rsidP="002B3191">
            <w:pPr>
              <w:jc w:val="center"/>
              <w:outlineLvl w:val="2"/>
            </w:pPr>
            <w:r w:rsidRPr="008A6C5B">
              <w:t>Приказом Департамента социальной политики Чукотского автономного округа</w:t>
            </w:r>
          </w:p>
          <w:p w:rsidR="008A132A" w:rsidRPr="008A6C5B" w:rsidRDefault="008A132A" w:rsidP="002B3191">
            <w:pPr>
              <w:jc w:val="center"/>
              <w:outlineLvl w:val="2"/>
            </w:pPr>
            <w:r w:rsidRPr="008A6C5B">
              <w:t xml:space="preserve">от </w:t>
            </w:r>
            <w:r>
              <w:t xml:space="preserve">________ </w:t>
            </w:r>
            <w:r w:rsidRPr="008A6C5B">
              <w:t>202</w:t>
            </w:r>
            <w:r w:rsidR="00F97BC8">
              <w:t>3</w:t>
            </w:r>
            <w:r>
              <w:t xml:space="preserve"> года </w:t>
            </w:r>
            <w:r w:rsidRPr="008A6C5B">
              <w:t xml:space="preserve">№ </w:t>
            </w:r>
            <w:r>
              <w:t>____</w:t>
            </w:r>
          </w:p>
        </w:tc>
      </w:tr>
    </w:tbl>
    <w:p w:rsidR="008A132A" w:rsidRPr="008A6C5B" w:rsidRDefault="008A132A" w:rsidP="008A132A">
      <w:pPr>
        <w:outlineLvl w:val="2"/>
      </w:pPr>
    </w:p>
    <w:p w:rsidR="008A132A" w:rsidRDefault="008A132A" w:rsidP="008A132A">
      <w:pPr>
        <w:jc w:val="center"/>
        <w:outlineLvl w:val="2"/>
        <w:rPr>
          <w:b/>
          <w:bCs/>
          <w:sz w:val="23"/>
          <w:szCs w:val="23"/>
        </w:rPr>
      </w:pPr>
      <w:bookmarkStart w:id="2" w:name="P32"/>
      <w:bookmarkEnd w:id="2"/>
      <w:r w:rsidRPr="00D72637">
        <w:rPr>
          <w:b/>
          <w:bCs/>
          <w:sz w:val="23"/>
          <w:szCs w:val="23"/>
        </w:rPr>
        <w:t>Карта рисков</w:t>
      </w:r>
    </w:p>
    <w:p w:rsidR="008A132A" w:rsidRPr="00D72637" w:rsidRDefault="008A132A" w:rsidP="008A132A">
      <w:pPr>
        <w:jc w:val="center"/>
        <w:outlineLvl w:val="2"/>
        <w:rPr>
          <w:b/>
          <w:bCs/>
          <w:sz w:val="23"/>
          <w:szCs w:val="23"/>
        </w:rPr>
      </w:pPr>
      <w:r w:rsidRPr="00D72637">
        <w:rPr>
          <w:b/>
          <w:bCs/>
          <w:sz w:val="23"/>
          <w:szCs w:val="23"/>
        </w:rPr>
        <w:t>нарушения антимонопольного законодательства</w:t>
      </w:r>
      <w:r w:rsidR="00BB3ADD">
        <w:rPr>
          <w:b/>
          <w:bCs/>
          <w:sz w:val="23"/>
          <w:szCs w:val="23"/>
        </w:rPr>
        <w:t xml:space="preserve"> </w:t>
      </w:r>
      <w:r w:rsidRPr="00D72637">
        <w:rPr>
          <w:b/>
          <w:bCs/>
          <w:sz w:val="23"/>
          <w:szCs w:val="23"/>
        </w:rPr>
        <w:t>Департамента социальной политики Чукотского автономного округа на 202</w:t>
      </w:r>
      <w:r w:rsidR="00F97BC8">
        <w:rPr>
          <w:b/>
          <w:bCs/>
          <w:sz w:val="23"/>
          <w:szCs w:val="23"/>
        </w:rPr>
        <w:t>4</w:t>
      </w:r>
      <w:r w:rsidRPr="00D72637">
        <w:rPr>
          <w:b/>
          <w:bCs/>
          <w:sz w:val="23"/>
          <w:szCs w:val="23"/>
        </w:rPr>
        <w:t xml:space="preserve"> год</w:t>
      </w:r>
    </w:p>
    <w:p w:rsidR="008A132A" w:rsidRPr="00E7314F" w:rsidRDefault="008A132A" w:rsidP="008A132A">
      <w:pPr>
        <w:outlineLvl w:val="2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1"/>
        <w:gridCol w:w="2318"/>
        <w:gridCol w:w="2173"/>
        <w:gridCol w:w="3927"/>
        <w:gridCol w:w="4480"/>
        <w:gridCol w:w="1894"/>
      </w:tblGrid>
      <w:tr w:rsidR="008A132A" w:rsidRPr="00D72637" w:rsidTr="008A132A">
        <w:tc>
          <w:tcPr>
            <w:tcW w:w="189" w:type="pct"/>
            <w:vAlign w:val="center"/>
          </w:tcPr>
          <w:p w:rsidR="008A132A" w:rsidRPr="00D72637" w:rsidRDefault="008A132A" w:rsidP="002B319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7263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61" w:type="pct"/>
            <w:vAlign w:val="center"/>
          </w:tcPr>
          <w:p w:rsidR="008A132A" w:rsidRPr="00D72637" w:rsidRDefault="008A132A" w:rsidP="002B319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72637">
              <w:rPr>
                <w:b/>
                <w:sz w:val="22"/>
                <w:szCs w:val="22"/>
              </w:rPr>
              <w:t>Наименование полномочия (действия, административная процедура), реализация которого связана с рисками</w:t>
            </w:r>
          </w:p>
        </w:tc>
        <w:tc>
          <w:tcPr>
            <w:tcW w:w="714" w:type="pct"/>
            <w:vAlign w:val="center"/>
          </w:tcPr>
          <w:p w:rsidR="008A132A" w:rsidRPr="00D72637" w:rsidRDefault="008A132A" w:rsidP="002B319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72637">
              <w:rPr>
                <w:b/>
                <w:sz w:val="22"/>
                <w:szCs w:val="22"/>
              </w:rPr>
              <w:t>Наименование структурных подразделений, при реализации полномочий которых возможно возникновение рисков</w:t>
            </w:r>
          </w:p>
        </w:tc>
        <w:tc>
          <w:tcPr>
            <w:tcW w:w="1285" w:type="pct"/>
            <w:vAlign w:val="center"/>
          </w:tcPr>
          <w:p w:rsidR="008A132A" w:rsidRPr="00D72637" w:rsidRDefault="008A132A" w:rsidP="002B319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72637">
              <w:rPr>
                <w:b/>
                <w:sz w:val="22"/>
                <w:szCs w:val="22"/>
              </w:rPr>
              <w:t>Риск (краткое описание)</w:t>
            </w:r>
          </w:p>
        </w:tc>
        <w:tc>
          <w:tcPr>
            <w:tcW w:w="1428" w:type="pct"/>
            <w:vAlign w:val="center"/>
          </w:tcPr>
          <w:p w:rsidR="008A132A" w:rsidRPr="00D72637" w:rsidRDefault="008A132A" w:rsidP="002B319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72637">
              <w:rPr>
                <w:b/>
                <w:sz w:val="22"/>
                <w:szCs w:val="22"/>
              </w:rPr>
              <w:t>Причины (условия) возникновения риска</w:t>
            </w:r>
          </w:p>
        </w:tc>
        <w:tc>
          <w:tcPr>
            <w:tcW w:w="623" w:type="pct"/>
            <w:vAlign w:val="center"/>
          </w:tcPr>
          <w:p w:rsidR="008A132A" w:rsidRPr="00D72637" w:rsidRDefault="008A132A" w:rsidP="002B319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72637">
              <w:rPr>
                <w:b/>
                <w:sz w:val="22"/>
                <w:szCs w:val="22"/>
              </w:rPr>
              <w:t>Уровень риска</w:t>
            </w:r>
          </w:p>
        </w:tc>
      </w:tr>
      <w:tr w:rsidR="008A132A" w:rsidRPr="00D72637" w:rsidTr="008A132A">
        <w:tc>
          <w:tcPr>
            <w:tcW w:w="189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1.</w:t>
            </w:r>
          </w:p>
        </w:tc>
        <w:tc>
          <w:tcPr>
            <w:tcW w:w="761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Организация и проведение закупок товаров, работ, услуг для государственных нужд</w:t>
            </w:r>
          </w:p>
        </w:tc>
        <w:tc>
          <w:tcPr>
            <w:tcW w:w="714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Отдел административно-организационной и правовой работы</w:t>
            </w:r>
          </w:p>
        </w:tc>
        <w:tc>
          <w:tcPr>
            <w:tcW w:w="1285" w:type="pct"/>
          </w:tcPr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Координация деятельности участников закупки;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заключение государственных контрактов (договоров) между заказчиком с участниками закупки, если такие государственные контракты (договоры) имеют 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создание участнику закупки или нескольким участникам закупки преимущественных условий участия в закупке, в том числе путем доступа к информации;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нарушение порядка определения победителя закупки;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 xml:space="preserve">нарушение порядка определения начальной (максимальной) цены </w:t>
            </w:r>
            <w:r w:rsidRPr="00D72637">
              <w:rPr>
                <w:sz w:val="22"/>
                <w:szCs w:val="22"/>
              </w:rPr>
              <w:lastRenderedPageBreak/>
              <w:t>государственного контракта.</w:t>
            </w:r>
          </w:p>
        </w:tc>
        <w:tc>
          <w:tcPr>
            <w:tcW w:w="1428" w:type="pct"/>
          </w:tcPr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lastRenderedPageBreak/>
              <w:t>Несоблюдение принципов открытости, прозрачности информации о контрактной системе в сфере закупок, обеспечения конкуренции, профессионализма заказчика;</w:t>
            </w:r>
          </w:p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высокая нагрузка на сотрудников;</w:t>
            </w:r>
          </w:p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отсутствие достаточной квалификации сотрудников;</w:t>
            </w:r>
          </w:p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поручение вышестоящего руководства;</w:t>
            </w:r>
          </w:p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непринятие мер по исключению конфликта интересов;</w:t>
            </w:r>
          </w:p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предоставление недостоверных сведений для определения начальной (максимальной) цены контракта.</w:t>
            </w:r>
          </w:p>
        </w:tc>
        <w:tc>
          <w:tcPr>
            <w:tcW w:w="623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высокий</w:t>
            </w:r>
          </w:p>
        </w:tc>
      </w:tr>
      <w:tr w:rsidR="008A132A" w:rsidRPr="00D72637" w:rsidTr="008A132A">
        <w:tc>
          <w:tcPr>
            <w:tcW w:w="189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2.</w:t>
            </w:r>
          </w:p>
        </w:tc>
        <w:tc>
          <w:tcPr>
            <w:tcW w:w="761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Подготовка заключений Департамента о целесообразности привлечения и использования иностранных работников</w:t>
            </w:r>
          </w:p>
        </w:tc>
        <w:tc>
          <w:tcPr>
            <w:tcW w:w="714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Управления занятости населения</w:t>
            </w:r>
          </w:p>
        </w:tc>
        <w:tc>
          <w:tcPr>
            <w:tcW w:w="1285" w:type="pct"/>
          </w:tcPr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Согласованные действия;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предоставление хозяйствующим субъектам доступа к информации в приоритетном порядке;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ненадлежащая подготовка документов.</w:t>
            </w:r>
          </w:p>
        </w:tc>
        <w:tc>
          <w:tcPr>
            <w:tcW w:w="1428" w:type="pct"/>
          </w:tcPr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Поручение вышестоящего руководства;</w:t>
            </w:r>
          </w:p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невнимательность при подготовке документов;</w:t>
            </w:r>
          </w:p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недостаточная компетентность в данном направлении работы;</w:t>
            </w:r>
          </w:p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недостоверная информация в запросах Управления внутренних дел Российской Федерации по Чукотскому автономному округу.</w:t>
            </w:r>
          </w:p>
        </w:tc>
        <w:tc>
          <w:tcPr>
            <w:tcW w:w="623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существенный</w:t>
            </w:r>
          </w:p>
        </w:tc>
      </w:tr>
      <w:tr w:rsidR="008A132A" w:rsidRPr="00D72637" w:rsidTr="008A132A">
        <w:tc>
          <w:tcPr>
            <w:tcW w:w="189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3.</w:t>
            </w:r>
          </w:p>
        </w:tc>
        <w:tc>
          <w:tcPr>
            <w:tcW w:w="761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Разработка проектов нормативных правовых актов, регламентирующих взаимодействие (деятельность), права и интересы хозяйствующих субъектов в сферах деятельности Департамента</w:t>
            </w:r>
          </w:p>
        </w:tc>
        <w:tc>
          <w:tcPr>
            <w:tcW w:w="714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Управление занятости населения</w:t>
            </w: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Управление социальной поддержки населения</w:t>
            </w: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Финансово-экономическое управление</w:t>
            </w: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Отдел административно-организационной и правовой работы</w:t>
            </w:r>
          </w:p>
          <w:p w:rsidR="008A132A" w:rsidRPr="00D72637" w:rsidRDefault="008A132A" w:rsidP="002B3191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72637">
              <w:rPr>
                <w:sz w:val="22"/>
                <w:szCs w:val="22"/>
              </w:rPr>
              <w:t>оздание дискриминационных или преимущественных условий для отдельных хозяйствующих субъектов;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72637">
              <w:rPr>
                <w:sz w:val="22"/>
                <w:szCs w:val="22"/>
              </w:rPr>
              <w:t>ведение дополнительных (необоснованных) ограничений и требований для отдельных хозяйствующих субъектов</w:t>
            </w:r>
            <w:r>
              <w:rPr>
                <w:sz w:val="22"/>
                <w:szCs w:val="22"/>
              </w:rPr>
              <w:t>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введение ограничений прав граждан на выбор хозяйствующего субъекта при получении мер социальной поддержки в форме денежной выплаты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8" w:type="pct"/>
          </w:tcPr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72637">
              <w:rPr>
                <w:sz w:val="22"/>
                <w:szCs w:val="22"/>
              </w:rPr>
              <w:t>тсутствие у специалистов необходимых и достаточных знаний в области нормотворческой деятельности;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 xml:space="preserve">сжатые сроки принятия </w:t>
            </w:r>
            <w:r>
              <w:rPr>
                <w:sz w:val="22"/>
                <w:szCs w:val="22"/>
              </w:rPr>
              <w:t>нормативного правового акта</w:t>
            </w:r>
            <w:r w:rsidRPr="00D72637">
              <w:rPr>
                <w:sz w:val="22"/>
                <w:szCs w:val="22"/>
              </w:rPr>
              <w:t>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 xml:space="preserve">неприменение, ошибочное применение антимонопольного законодательства при подготовке </w:t>
            </w:r>
            <w:r>
              <w:rPr>
                <w:sz w:val="22"/>
                <w:szCs w:val="22"/>
              </w:rPr>
              <w:t>нормативного правового акта</w:t>
            </w:r>
            <w:r w:rsidRPr="00D72637">
              <w:rPr>
                <w:sz w:val="22"/>
                <w:szCs w:val="22"/>
              </w:rPr>
              <w:t>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высокая нагрузка на специалистов;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отсутствие достаточного количества кадров;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 xml:space="preserve">не размещение проекта </w:t>
            </w:r>
            <w:r>
              <w:rPr>
                <w:sz w:val="22"/>
                <w:szCs w:val="22"/>
              </w:rPr>
              <w:t xml:space="preserve">нормативного правового акта </w:t>
            </w:r>
            <w:r w:rsidRPr="00D72637">
              <w:rPr>
                <w:sz w:val="22"/>
                <w:szCs w:val="22"/>
              </w:rPr>
              <w:t>на официальном сайте Департамента для проведения анализа на предмет соответствия его антимонопольному законодательству;</w:t>
            </w:r>
          </w:p>
          <w:p w:rsidR="008A132A" w:rsidRPr="00DF1515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 xml:space="preserve">недостаточный </w:t>
            </w:r>
            <w:r w:rsidRPr="00DF1515">
              <w:rPr>
                <w:sz w:val="22"/>
                <w:szCs w:val="22"/>
              </w:rPr>
              <w:t>уровень</w:t>
            </w:r>
            <w:r>
              <w:rPr>
                <w:sz w:val="22"/>
                <w:szCs w:val="22"/>
              </w:rPr>
              <w:t xml:space="preserve">проведения </w:t>
            </w:r>
            <w:r w:rsidRPr="00DF1515">
              <w:rPr>
                <w:sz w:val="22"/>
                <w:szCs w:val="22"/>
              </w:rPr>
              <w:t>правовойэкспертизы;</w:t>
            </w:r>
          </w:p>
          <w:p w:rsidR="008A132A" w:rsidRPr="00DF1515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F1515">
              <w:rPr>
                <w:sz w:val="22"/>
                <w:szCs w:val="22"/>
              </w:rPr>
              <w:t>недостаточныйуровеньвнутреннегоконтроля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незначительный</w:t>
            </w:r>
          </w:p>
        </w:tc>
      </w:tr>
      <w:tr w:rsidR="008A132A" w:rsidRPr="00D72637" w:rsidTr="008A132A">
        <w:tc>
          <w:tcPr>
            <w:tcW w:w="189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4.</w:t>
            </w:r>
          </w:p>
        </w:tc>
        <w:tc>
          <w:tcPr>
            <w:tcW w:w="761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Применение мер</w:t>
            </w: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административной</w:t>
            </w: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ответственности</w:t>
            </w:r>
          </w:p>
        </w:tc>
        <w:tc>
          <w:tcPr>
            <w:tcW w:w="714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Управление занятости населения</w:t>
            </w: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Отдел административно-организационной и правовой работы</w:t>
            </w:r>
          </w:p>
          <w:p w:rsidR="008A132A" w:rsidRPr="00D72637" w:rsidRDefault="008A132A" w:rsidP="002B3191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72637">
              <w:rPr>
                <w:sz w:val="22"/>
                <w:szCs w:val="22"/>
              </w:rPr>
              <w:t>несение заведомо ложных сведений в процессуальные документы при производстве административного дела;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 xml:space="preserve">составление протокола (предостережения) на заведомо неуполномоченного представителя </w:t>
            </w:r>
            <w:r w:rsidRPr="00D72637">
              <w:rPr>
                <w:sz w:val="22"/>
                <w:szCs w:val="22"/>
              </w:rPr>
              <w:lastRenderedPageBreak/>
              <w:t>юридического лица (индивидуального предпринимателя);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направление протокола (предостережения) с нарушением установленного срока или не направление протокола (предостережения) в целях последующей их отмены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8" w:type="pct"/>
          </w:tcPr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D72637">
              <w:rPr>
                <w:sz w:val="22"/>
                <w:szCs w:val="22"/>
              </w:rPr>
              <w:t>едостаточный уровень</w:t>
            </w:r>
            <w:r>
              <w:rPr>
                <w:sz w:val="22"/>
                <w:szCs w:val="22"/>
              </w:rPr>
              <w:t xml:space="preserve"> проведения</w:t>
            </w:r>
            <w:r w:rsidRPr="00D72637">
              <w:rPr>
                <w:sz w:val="22"/>
                <w:szCs w:val="22"/>
              </w:rPr>
              <w:t xml:space="preserve"> правовой экспертизы</w:t>
            </w:r>
            <w:r>
              <w:rPr>
                <w:sz w:val="22"/>
                <w:szCs w:val="22"/>
              </w:rPr>
              <w:t>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невнимательность при проверке документов;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недостаточный уровень внутреннего контроля;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 xml:space="preserve">непринятие мер по исключению </w:t>
            </w:r>
            <w:r w:rsidRPr="00D72637">
              <w:rPr>
                <w:sz w:val="22"/>
                <w:szCs w:val="22"/>
              </w:rPr>
              <w:lastRenderedPageBreak/>
              <w:t>конфликта интересов.</w:t>
            </w:r>
          </w:p>
        </w:tc>
        <w:tc>
          <w:tcPr>
            <w:tcW w:w="623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lastRenderedPageBreak/>
              <w:t>низкий</w:t>
            </w:r>
          </w:p>
        </w:tc>
      </w:tr>
    </w:tbl>
    <w:p w:rsidR="00F97BC8" w:rsidRPr="000D2735" w:rsidRDefault="00F97BC8" w:rsidP="00F97BC8">
      <w:pPr>
        <w:outlineLvl w:val="2"/>
        <w:rPr>
          <w:sz w:val="28"/>
          <w:szCs w:val="28"/>
        </w:rPr>
      </w:pPr>
    </w:p>
    <w:sectPr w:rsidR="00F97BC8" w:rsidRPr="000D2735" w:rsidSect="008A132A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0D"/>
    <w:rsid w:val="000408E3"/>
    <w:rsid w:val="00097E0B"/>
    <w:rsid w:val="000D2735"/>
    <w:rsid w:val="001D481C"/>
    <w:rsid w:val="00222D20"/>
    <w:rsid w:val="00285174"/>
    <w:rsid w:val="002B5C5E"/>
    <w:rsid w:val="00307725"/>
    <w:rsid w:val="003112A4"/>
    <w:rsid w:val="00415105"/>
    <w:rsid w:val="00416FEA"/>
    <w:rsid w:val="0042634F"/>
    <w:rsid w:val="005643FC"/>
    <w:rsid w:val="005F7C30"/>
    <w:rsid w:val="00662D9F"/>
    <w:rsid w:val="0067671C"/>
    <w:rsid w:val="00775002"/>
    <w:rsid w:val="008A132A"/>
    <w:rsid w:val="0090460D"/>
    <w:rsid w:val="00985FBF"/>
    <w:rsid w:val="00A5260B"/>
    <w:rsid w:val="00BB3ADD"/>
    <w:rsid w:val="00BB7946"/>
    <w:rsid w:val="00C05885"/>
    <w:rsid w:val="00C45C38"/>
    <w:rsid w:val="00C7405C"/>
    <w:rsid w:val="00C7639B"/>
    <w:rsid w:val="00E25D52"/>
    <w:rsid w:val="00E57677"/>
    <w:rsid w:val="00E9321D"/>
    <w:rsid w:val="00EA13C8"/>
    <w:rsid w:val="00ED104B"/>
    <w:rsid w:val="00F9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452E"/>
  <w15:docId w15:val="{FE42F39E-041A-4269-8871-CA98C007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org2</cp:lastModifiedBy>
  <cp:revision>2</cp:revision>
  <dcterms:created xsi:type="dcterms:W3CDTF">2023-12-19T04:52:00Z</dcterms:created>
  <dcterms:modified xsi:type="dcterms:W3CDTF">2023-12-19T04:52:00Z</dcterms:modified>
</cp:coreProperties>
</file>