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ind w:firstLine="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page">
              <wp:posOffset>3629025</wp:posOffset>
            </wp:positionH>
            <wp:positionV relativeFrom="paragraph">
              <wp:posOffset>78105</wp:posOffset>
            </wp:positionV>
            <wp:extent cx="733425" cy="89535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733425" cy="89535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6000000">
      <w:pPr>
        <w:widowControl w:val="1"/>
        <w:ind w:firstLine="0" w:left="0"/>
        <w:jc w:val="right"/>
        <w:rPr>
          <w:rFonts w:ascii="Calibri" w:hAnsi="Calibri"/>
          <w:sz w:val="22"/>
        </w:rPr>
      </w:pPr>
    </w:p>
    <w:p w14:paraId="07000000">
      <w:pPr>
        <w:widowControl w:val="1"/>
        <w:ind w:firstLine="0" w:lef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</w:p>
    <w:p w14:paraId="08000000">
      <w:pPr>
        <w:widowControl w:val="1"/>
        <w:ind w:firstLine="0" w:left="0"/>
        <w:jc w:val="center"/>
        <w:rPr>
          <w:rFonts w:ascii="Courier" w:hAnsi="Courier"/>
        </w:rPr>
      </w:pPr>
    </w:p>
    <w:p w14:paraId="09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0A000000">
      <w:pPr>
        <w:widowControl w:val="1"/>
        <w:ind w:firstLine="0" w:left="0"/>
        <w:jc w:val="center"/>
        <w:rPr>
          <w:rFonts w:ascii="Times New Roman" w:hAnsi="Times New Roman"/>
          <w:b w:val="1"/>
          <w:sz w:val="20"/>
        </w:rPr>
      </w:pPr>
    </w:p>
    <w:p w14:paraId="0B000000">
      <w:pPr>
        <w:widowControl w:val="1"/>
        <w:ind w:firstLine="0" w:left="0"/>
        <w:jc w:val="center"/>
        <w:rPr>
          <w:rFonts w:ascii="Times New Roman" w:hAnsi="Times New Roman"/>
          <w:b w:val="1"/>
          <w:sz w:val="20"/>
        </w:rPr>
      </w:pPr>
    </w:p>
    <w:p w14:paraId="0C000000">
      <w:pPr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ПРАВИТЕЛЬСТВО   </w:t>
      </w:r>
      <w:r>
        <w:rPr>
          <w:rFonts w:ascii="Times New Roman" w:hAnsi="Times New Roman"/>
          <w:b w:val="1"/>
          <w:sz w:val="28"/>
        </w:rPr>
        <w:t>ЧУКОТСКОГО  АВТОНОМНОГО</w:t>
      </w:r>
      <w:r>
        <w:rPr>
          <w:rFonts w:ascii="Times New Roman" w:hAnsi="Times New Roman"/>
          <w:b w:val="1"/>
          <w:sz w:val="28"/>
        </w:rPr>
        <w:t xml:space="preserve">  ОКРУГА</w:t>
      </w:r>
    </w:p>
    <w:p w14:paraId="0D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0E000000">
      <w:pPr>
        <w:keepNext w:val="1"/>
        <w:widowControl w:val="1"/>
        <w:ind w:firstLine="0" w:left="0"/>
        <w:jc w:val="center"/>
        <w:outlineLvl w:val="0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 А С П О Р Я Ж Е Н И Е</w:t>
      </w:r>
    </w:p>
    <w:p w14:paraId="0F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10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tbl>
      <w:tblPr>
        <w:tblStyle w:val="Style_3"/>
        <w:tblW w:type="auto" w:w="0"/>
        <w:tblLayout w:type="fixed"/>
      </w:tblPr>
      <w:tblGrid>
        <w:gridCol w:w="534"/>
        <w:gridCol w:w="2976"/>
        <w:gridCol w:w="993"/>
        <w:gridCol w:w="1275"/>
        <w:gridCol w:w="3969"/>
      </w:tblGrid>
      <w:tr>
        <w:tc>
          <w:tcPr>
            <w:tcW w:type="dxa" w:w="534"/>
          </w:tcPr>
          <w:p w14:paraId="11000000">
            <w:pPr>
              <w:widowControl w:val="1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2976"/>
            <w:tcBorders>
              <w:bottom w:color="000000" w:sz="4" w:val="single"/>
            </w:tcBorders>
          </w:tcPr>
          <w:p w14:paraId="12000000">
            <w:pPr>
              <w:widowControl w:val="1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 декабря 2023 года</w:t>
            </w:r>
          </w:p>
        </w:tc>
        <w:tc>
          <w:tcPr>
            <w:tcW w:type="dxa" w:w="993"/>
          </w:tcPr>
          <w:p w14:paraId="13000000">
            <w:pPr>
              <w:widowControl w:val="1"/>
              <w:ind w:firstLine="0" w:lef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275"/>
            <w:tcBorders>
              <w:bottom w:color="000000" w:sz="4" w:val="single"/>
            </w:tcBorders>
          </w:tcPr>
          <w:p w14:paraId="14000000">
            <w:pPr>
              <w:widowControl w:val="1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674-рп</w:t>
            </w:r>
          </w:p>
        </w:tc>
        <w:tc>
          <w:tcPr>
            <w:tcW w:type="dxa" w:w="3969"/>
          </w:tcPr>
          <w:p w14:paraId="15000000">
            <w:pPr>
              <w:widowControl w:val="1"/>
              <w:ind w:firstLine="0" w:left="0" w:right="-11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г. Анадырь</w:t>
            </w:r>
          </w:p>
        </w:tc>
      </w:tr>
    </w:tbl>
    <w:p w14:paraId="16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</w:p>
    <w:p w14:paraId="17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6062"/>
      </w:tblGrid>
      <w:tr>
        <w:tc>
          <w:tcPr>
            <w:tcW w:type="dxa" w:w="6062"/>
            <w:shd w:fill="auto" w:val="clear"/>
          </w:tcPr>
          <w:p w14:paraId="18000000">
            <w:pPr>
              <w:widowControl w:val="1"/>
              <w:tabs>
                <w:tab w:leader="none" w:pos="4962" w:val="left"/>
              </w:tabs>
              <w:ind w:firstLine="0" w:left="0" w:right="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 утверждении паспорта 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осударственной программы «</w:t>
            </w:r>
            <w:r>
              <w:rPr>
                <w:rFonts w:ascii="Times New Roman" w:hAnsi="Times New Roman"/>
                <w:sz w:val="28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14:paraId="19000000">
      <w:pPr>
        <w:widowControl w:val="1"/>
        <w:spacing w:line="320" w:lineRule="exact"/>
        <w:ind w:firstLine="709" w:left="0"/>
        <w:rPr>
          <w:rFonts w:ascii="Times New Roman" w:hAnsi="Times New Roman"/>
          <w:sz w:val="28"/>
        </w:rPr>
      </w:pPr>
    </w:p>
    <w:p w14:paraId="1A000000">
      <w:pPr>
        <w:widowControl w:val="1"/>
        <w:spacing w:line="320" w:lineRule="exact"/>
        <w:ind w:firstLine="709" w:left="0"/>
        <w:rPr>
          <w:rFonts w:ascii="Times New Roman" w:hAnsi="Times New Roman"/>
          <w:sz w:val="28"/>
        </w:rPr>
      </w:pPr>
    </w:p>
    <w:p w14:paraId="1B000000">
      <w:pPr>
        <w:widowControl w:val="1"/>
        <w:spacing w:line="320" w:lineRule="exact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соответстви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 Постановлением Правительства Чукотского автономного округа от 10 сентября 2013 года № 359 «Об утверждении Порядка разработки, реализации и оценки эффективности государственных программ Чукотского автономного округа»:</w:t>
      </w:r>
    </w:p>
    <w:p w14:paraId="1C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паспорт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осударственной программы «</w:t>
      </w:r>
      <w:r>
        <w:rPr>
          <w:rFonts w:ascii="Times New Roman" w:hAnsi="Times New Roman"/>
          <w:sz w:val="28"/>
        </w:rPr>
        <w:t>Развитие жилищного строительства в Чукотском автономном округе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приложению к настоящему распоряжению.</w:t>
      </w:r>
    </w:p>
    <w:p w14:paraId="1D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 Настоящее распоряжение вступает в силу с 1 января 2024 года.</w:t>
      </w:r>
    </w:p>
    <w:p w14:paraId="1E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Контроль за исполнением настоящего распоряжения возложить              на Департамент </w:t>
      </w:r>
      <w:r>
        <w:rPr>
          <w:rFonts w:ascii="Times New Roman" w:hAnsi="Times New Roman"/>
          <w:sz w:val="28"/>
        </w:rPr>
        <w:t>промышленной политики</w:t>
      </w:r>
      <w:r>
        <w:rPr>
          <w:rFonts w:ascii="Times New Roman" w:hAnsi="Times New Roman"/>
          <w:sz w:val="28"/>
        </w:rPr>
        <w:t xml:space="preserve"> Чукотского автономного округа (</w:t>
      </w:r>
      <w:r>
        <w:rPr>
          <w:rFonts w:ascii="Times New Roman" w:hAnsi="Times New Roman"/>
          <w:sz w:val="28"/>
        </w:rPr>
        <w:t>Солонский К.Ю.</w:t>
      </w:r>
      <w:r>
        <w:rPr>
          <w:rFonts w:ascii="Times New Roman" w:hAnsi="Times New Roman"/>
          <w:sz w:val="28"/>
        </w:rPr>
        <w:t>).</w:t>
      </w:r>
    </w:p>
    <w:p w14:paraId="1F000000">
      <w:pPr>
        <w:widowControl w:val="1"/>
        <w:ind w:firstLine="851" w:left="0"/>
        <w:rPr>
          <w:rFonts w:ascii="Times New Roman" w:hAnsi="Times New Roman"/>
          <w:sz w:val="28"/>
        </w:rPr>
      </w:pPr>
    </w:p>
    <w:p w14:paraId="20000000">
      <w:pPr>
        <w:widowControl w:val="1"/>
        <w:ind w:firstLine="851" w:left="0"/>
        <w:rPr>
          <w:rFonts w:ascii="Times New Roman" w:hAnsi="Times New Roman"/>
          <w:sz w:val="28"/>
        </w:rPr>
      </w:pPr>
    </w:p>
    <w:p w14:paraId="21000000">
      <w:pPr>
        <w:widowControl w:val="1"/>
        <w:ind w:firstLine="851" w:left="0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5068"/>
        <w:gridCol w:w="4538"/>
      </w:tblGrid>
      <w:tr>
        <w:tc>
          <w:tcPr>
            <w:tcW w:type="dxa" w:w="5068"/>
          </w:tcPr>
          <w:p w14:paraId="22000000">
            <w:pPr>
              <w:widowControl w:val="1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 xml:space="preserve"> Правительства</w:t>
            </w:r>
          </w:p>
        </w:tc>
        <w:tc>
          <w:tcPr>
            <w:tcW w:type="dxa" w:w="4538"/>
          </w:tcPr>
          <w:p w14:paraId="23000000">
            <w:pPr>
              <w:widowControl w:val="1"/>
              <w:ind w:firstLine="0" w:left="0" w:right="3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В.Г.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Кузнецов</w:t>
            </w:r>
          </w:p>
        </w:tc>
      </w:tr>
    </w:tbl>
    <w:p w14:paraId="24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5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6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7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8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9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A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B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C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D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E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2F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30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31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32000000">
      <w:pPr>
        <w:sectPr>
          <w:pgSz w:h="16838" w:orient="portrait" w:w="11906"/>
          <w:pgMar w:bottom="1134" w:footer="709" w:gutter="0" w:header="709" w:left="1701" w:right="851" w:top="567"/>
        </w:sectPr>
      </w:pPr>
    </w:p>
    <w:tbl>
      <w:tblPr>
        <w:tblStyle w:val="Style_4"/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11590"/>
        <w:gridCol w:w="4394"/>
      </w:tblGrid>
      <w:tr>
        <w:tc>
          <w:tcPr>
            <w:tcW w:type="dxa" w:w="11590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b w:val="1"/>
                <w:spacing w:val="20"/>
              </w:rPr>
            </w:pPr>
          </w:p>
        </w:tc>
        <w:tc>
          <w:tcPr>
            <w:tcW w:type="dxa" w:w="439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34000000">
            <w:pPr>
              <w:widowControl w:val="1"/>
              <w:ind w:firstLine="0" w:left="0" w:right="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</w:t>
            </w:r>
          </w:p>
          <w:p w14:paraId="35000000">
            <w:pPr>
              <w:widowControl w:val="1"/>
              <w:ind w:firstLine="0" w:left="0" w:right="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Распоряжению Правительства</w:t>
            </w:r>
          </w:p>
          <w:p w14:paraId="36000000">
            <w:pPr>
              <w:widowControl w:val="1"/>
              <w:ind w:firstLine="0" w:left="0" w:right="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Чукотского автономного округа</w:t>
            </w:r>
          </w:p>
          <w:p w14:paraId="37000000">
            <w:pPr>
              <w:ind w:firstLine="0" w:left="0" w:right="37"/>
              <w:jc w:val="center"/>
              <w:rPr>
                <w:rFonts w:ascii="Times New Roman" w:hAnsi="Times New Roman"/>
                <w:b w:val="1"/>
                <w:spacing w:val="20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 xml:space="preserve">29 декабря 2023 </w:t>
            </w:r>
            <w:r>
              <w:rPr>
                <w:rFonts w:ascii="Times New Roman" w:hAnsi="Times New Roman"/>
              </w:rPr>
              <w:t>года</w:t>
            </w:r>
            <w:r>
              <w:rPr>
                <w:rFonts w:ascii="Times New Roman" w:hAnsi="Times New Roman"/>
              </w:rPr>
              <w:t xml:space="preserve">  №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674-рп</w:t>
            </w:r>
          </w:p>
        </w:tc>
      </w:tr>
    </w:tbl>
    <w:p w14:paraId="38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</w:p>
    <w:p w14:paraId="39000000">
      <w:pPr>
        <w:ind w:firstLine="0" w:left="0"/>
        <w:jc w:val="center"/>
        <w:rPr>
          <w:rFonts w:ascii="Times New Roman" w:hAnsi="Times New Roman"/>
          <w:b w:val="1"/>
          <w:spacing w:val="20"/>
        </w:rPr>
      </w:pPr>
      <w:r>
        <w:rPr>
          <w:rFonts w:ascii="Times New Roman" w:hAnsi="Times New Roman"/>
          <w:b w:val="1"/>
          <w:spacing w:val="20"/>
        </w:rPr>
        <w:t>ПАСПО</w:t>
      </w:r>
      <w:r>
        <w:rPr>
          <w:rFonts w:ascii="Times New Roman" w:hAnsi="Times New Roman"/>
          <w:b w:val="1"/>
          <w:spacing w:val="20"/>
        </w:rPr>
        <w:t xml:space="preserve">РТ  </w:t>
      </w:r>
    </w:p>
    <w:p w14:paraId="3A000000">
      <w:pPr>
        <w:ind w:firstLine="0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Государственной программы </w:t>
      </w:r>
    </w:p>
    <w:p w14:paraId="3B000000">
      <w:pPr>
        <w:ind w:firstLine="0" w:left="0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b w:val="1"/>
        </w:rPr>
        <w:t>«</w:t>
      </w:r>
      <w:r>
        <w:rPr>
          <w:rFonts w:ascii="Times New Roman" w:hAnsi="Times New Roman"/>
          <w:b w:val="1"/>
        </w:rPr>
        <w:t>Развитие жилищного строительства в Чукотском автономном округе</w:t>
      </w:r>
      <w:r>
        <w:rPr>
          <w:rFonts w:ascii="Times New Roman" w:hAnsi="Times New Roman"/>
          <w:b w:val="1"/>
        </w:rPr>
        <w:t>»</w:t>
      </w:r>
      <w:r>
        <w:rPr>
          <w:rFonts w:ascii="Times New Roman" w:hAnsi="Times New Roman"/>
        </w:rPr>
        <w:t xml:space="preserve"> </w:t>
      </w:r>
    </w:p>
    <w:p w14:paraId="3C000000">
      <w:pPr>
        <w:pStyle w:val="Style_5"/>
        <w:ind w:firstLine="0" w:left="0"/>
        <w:jc w:val="center"/>
        <w:rPr>
          <w:rFonts w:ascii="Times New Roman" w:hAnsi="Times New Roman"/>
          <w:b w:val="1"/>
          <w:sz w:val="16"/>
        </w:rPr>
      </w:pPr>
    </w:p>
    <w:p w14:paraId="3D000000">
      <w:pPr>
        <w:pStyle w:val="Style_5"/>
        <w:ind w:firstLine="0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1. Основные положения</w:t>
      </w:r>
    </w:p>
    <w:p w14:paraId="3E000000">
      <w:pPr>
        <w:ind w:firstLine="0" w:left="0"/>
        <w:rPr>
          <w:rFonts w:ascii="Times New Roman" w:hAnsi="Times New Roman"/>
          <w:b w:val="1"/>
          <w:sz w:val="16"/>
        </w:rPr>
      </w:pPr>
    </w:p>
    <w:tbl>
      <w:tblPr>
        <w:tblStyle w:val="Style_3"/>
        <w:tblW w:type="auto" w:w="0"/>
        <w:tblInd w:type="dxa" w:w="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4981"/>
        <w:gridCol w:w="10328"/>
      </w:tblGrid>
      <w:tr>
        <w:tc>
          <w:tcPr>
            <w:tcW w:type="dxa" w:w="4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3F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Куратор государственной программы </w:t>
            </w:r>
          </w:p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0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Солонский Константин Юрьевич</w:t>
            </w:r>
            <w:r>
              <w:rPr>
                <w:rFonts w:ascii="Times New Roman" w:hAnsi="Times New Roman"/>
              </w:rPr>
              <w:t xml:space="preserve"> 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Заместител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Губернатора – Председателя Правительства, начальник Департамента </w:t>
            </w:r>
            <w:r>
              <w:rPr>
                <w:rFonts w:ascii="Times New Roman" w:hAnsi="Times New Roman"/>
              </w:rPr>
              <w:t xml:space="preserve">промышленной политики </w:t>
            </w:r>
            <w:r>
              <w:rPr>
                <w:rFonts w:ascii="Times New Roman" w:hAnsi="Times New Roman"/>
              </w:rPr>
              <w:t>Чукотского автономного округа</w:t>
            </w:r>
          </w:p>
        </w:tc>
      </w:tr>
      <w:tr>
        <w:tc>
          <w:tcPr>
            <w:tcW w:type="dxa" w:w="4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1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2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Департамент </w:t>
            </w:r>
            <w:r>
              <w:rPr>
                <w:rFonts w:ascii="Times New Roman" w:hAnsi="Times New Roman"/>
              </w:rPr>
              <w:t xml:space="preserve">промышленной политики </w:t>
            </w:r>
            <w:r>
              <w:rPr>
                <w:rFonts w:ascii="Times New Roman" w:hAnsi="Times New Roman"/>
              </w:rPr>
              <w:t>Чукотского автономного округа</w:t>
            </w:r>
          </w:p>
        </w:tc>
      </w:tr>
      <w:tr>
        <w:tc>
          <w:tcPr>
            <w:tcW w:type="dxa" w:w="4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3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Период реализации государственной программы </w:t>
            </w:r>
          </w:p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4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2024 -2030</w:t>
            </w:r>
            <w:r>
              <w:rPr>
                <w:rFonts w:ascii="Times New Roman" w:hAnsi="Times New Roman"/>
              </w:rPr>
              <w:t xml:space="preserve"> (без разделения на этапы)</w:t>
            </w:r>
          </w:p>
          <w:p w14:paraId="45000000">
            <w:pPr>
              <w:ind w:firstLine="0" w:left="0"/>
              <w:jc w:val="left"/>
              <w:rPr>
                <w:rFonts w:ascii="Times New Roman" w:hAnsi="Times New Roman"/>
                <w:strike w:val="1"/>
              </w:rPr>
            </w:pPr>
          </w:p>
        </w:tc>
      </w:tr>
      <w:tr>
        <w:trPr>
          <w:trHeight w:hRule="atLeast" w:val="692"/>
        </w:trPr>
        <w:tc>
          <w:tcPr>
            <w:tcW w:type="dxa" w:w="49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6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государственной программы Чукотского автономного округа</w:t>
            </w:r>
          </w:p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7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Создание безопасных и благоприятных условий проживания граждан, реализация государственной политики в области жилищного строительства</w:t>
            </w:r>
          </w:p>
        </w:tc>
      </w:tr>
      <w:tr>
        <w:tc>
          <w:tcPr>
            <w:tcW w:type="dxa" w:w="49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/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овышение уровня обеспеченности населения жильем</w:t>
            </w:r>
          </w:p>
        </w:tc>
      </w:tr>
      <w:tr>
        <w:tc>
          <w:tcPr>
            <w:tcW w:type="dxa" w:w="49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/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беспечение устойчивого развития Чукотского автономного округа посредством актуализации документов территориального планирования и градостроительного зонирования</w:t>
            </w:r>
          </w:p>
        </w:tc>
      </w:tr>
      <w:tr>
        <w:tc>
          <w:tcPr>
            <w:tcW w:type="dxa" w:w="49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/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ост доли общей площади благоустроенных жилых помещений в сельских населенных пунктах</w:t>
            </w:r>
          </w:p>
        </w:tc>
      </w:tr>
      <w:tr>
        <w:trPr>
          <w:trHeight w:hRule="atLeast" w:val="585"/>
        </w:trPr>
        <w:tc>
          <w:tcPr>
            <w:tcW w:type="dxa" w:w="4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B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 (подпрограммы) государственной программы</w:t>
            </w:r>
          </w:p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C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4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D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E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color w:val="000000"/>
                <w:sz w:val="22"/>
              </w:rPr>
              <w:t>2 298 563,00</w:t>
            </w:r>
            <w:r>
              <w:rPr>
                <w:b w:val="1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</w:rPr>
              <w:t>тыс. рублей</w:t>
            </w:r>
          </w:p>
        </w:tc>
      </w:tr>
      <w:tr>
        <w:trPr>
          <w:trHeight w:hRule="atLeast" w:val="851"/>
        </w:trPr>
        <w:tc>
          <w:tcPr>
            <w:tcW w:type="dxa" w:w="49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F000000">
            <w:pPr>
              <w:ind w:firstLine="0" w:left="0"/>
              <w:jc w:val="left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type="dxa" w:w="10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0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t xml:space="preserve">Комфортная и безопасная среда для жизни /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осударственн</w:t>
            </w:r>
            <w:r>
              <w:rPr>
                <w:rFonts w:ascii="Times New Roman" w:hAnsi="Times New Roman"/>
              </w:rPr>
              <w:t xml:space="preserve">ая </w:t>
            </w:r>
            <w:r>
              <w:rPr>
                <w:rFonts w:ascii="Times New Roman" w:hAnsi="Times New Roman"/>
              </w:rPr>
              <w:t>программ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Российской Федерац</w:t>
            </w:r>
            <w:r>
              <w:rPr>
                <w:rFonts w:ascii="Times New Roman" w:hAnsi="Times New Roman"/>
              </w:rPr>
              <w:t>ии «</w:t>
            </w:r>
            <w:r>
              <w:rPr>
                <w:rFonts w:ascii="Times New Roman" w:hAnsi="Times New Roman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1000000">
            <w:pPr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</w:tbl>
    <w:p w14:paraId="52000000">
      <w:pPr>
        <w:rPr>
          <w:rFonts w:ascii="Times New Roman" w:hAnsi="Times New Roman"/>
          <w:sz w:val="20"/>
          <w:vertAlign w:val="superscript"/>
        </w:rPr>
      </w:pPr>
    </w:p>
    <w:p w14:paraId="53000000">
      <w:pPr>
        <w:rPr>
          <w:rFonts w:ascii="Times New Roman" w:hAnsi="Times New Roman"/>
          <w:sz w:val="20"/>
          <w:vertAlign w:val="superscript"/>
        </w:rPr>
      </w:pPr>
    </w:p>
    <w:p w14:paraId="54000000">
      <w:pPr>
        <w:rPr>
          <w:rFonts w:ascii="Times New Roman" w:hAnsi="Times New Roman"/>
          <w:sz w:val="20"/>
          <w:vertAlign w:val="superscript"/>
        </w:rPr>
      </w:pPr>
    </w:p>
    <w:p w14:paraId="55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2. Показатели государственной программы Чукотского автономного округа</w:t>
      </w:r>
    </w:p>
    <w:p w14:paraId="56000000">
      <w:pPr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3"/>
        <w:tblW w:type="auto" w:w="0"/>
        <w:tblInd w:type="dxa" w:w="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568"/>
        <w:gridCol w:w="1533"/>
        <w:gridCol w:w="997"/>
        <w:gridCol w:w="949"/>
        <w:gridCol w:w="949"/>
        <w:gridCol w:w="724"/>
        <w:gridCol w:w="743"/>
        <w:gridCol w:w="755"/>
        <w:gridCol w:w="863"/>
        <w:gridCol w:w="717"/>
        <w:gridCol w:w="682"/>
        <w:gridCol w:w="717"/>
        <w:gridCol w:w="689"/>
        <w:gridCol w:w="778"/>
        <w:gridCol w:w="1086"/>
        <w:gridCol w:w="771"/>
        <w:gridCol w:w="1457"/>
        <w:gridCol w:w="892"/>
      </w:tblGrid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N№ п/п</w:t>
            </w:r>
          </w:p>
        </w:tc>
        <w:tc>
          <w:tcPr>
            <w:tcW w:type="dxa" w:w="15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8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9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Уровень показателя</w:t>
            </w:r>
          </w:p>
        </w:tc>
        <w:tc>
          <w:tcPr>
            <w:tcW w:type="dxa" w:w="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Признак возрастания / убывания</w:t>
            </w:r>
          </w:p>
        </w:tc>
        <w:tc>
          <w:tcPr>
            <w:tcW w:type="dxa" w:w="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 (по ОКЕИ)</w:t>
            </w:r>
          </w:p>
        </w:tc>
        <w:tc>
          <w:tcPr>
            <w:tcW w:type="dxa" w:w="14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Базовое значение </w:t>
            </w:r>
          </w:p>
        </w:tc>
        <w:tc>
          <w:tcPr>
            <w:tcW w:type="dxa" w:w="520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Значения показателей</w:t>
            </w:r>
          </w:p>
        </w:tc>
        <w:tc>
          <w:tcPr>
            <w:tcW w:type="dxa" w:w="10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Документ </w:t>
            </w:r>
          </w:p>
        </w:tc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Ответственный за достижение показателя </w:t>
            </w:r>
          </w:p>
        </w:tc>
        <w:tc>
          <w:tcPr>
            <w:tcW w:type="dxa" w:w="14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  <w:strike w:val="1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Связь с показателями национальных целей</w:t>
            </w:r>
          </w:p>
          <w:p w14:paraId="61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Информационная система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5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0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4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8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6F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0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6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A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7D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c>
          <w:tcPr>
            <w:tcW w:type="dxa" w:w="15870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E000000">
            <w:pPr>
              <w:pStyle w:val="Style_5"/>
              <w:numPr>
                <w:ilvl w:val="0"/>
                <w:numId w:val="1"/>
              </w:num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sz w:val="20"/>
              </w:rPr>
              <w:t>Создание безопасных и благоприятных условий проживания граждан, реализация государственной политики в области жилищного строительства»</w:t>
            </w:r>
          </w:p>
        </w:tc>
      </w:tr>
      <w:tr>
        <w:trPr>
          <w:trHeight w:hRule="atLeast" w:val="426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F000000">
            <w:pPr>
              <w:ind w:firstLine="142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1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000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выкупленных жилых помещений у лиц, не являющихся застройщиками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«ГП РФ», «ФП»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2000000">
            <w:pPr>
              <w:ind w:firstLine="134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возрастающий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3000000">
            <w:pPr>
              <w:ind w:firstLine="34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  <w:highlight w:val="white"/>
              </w:rPr>
              <w:t>м</w:t>
            </w:r>
            <w:r>
              <w:rPr>
                <w:sz w:val="20"/>
                <w:highlight w:val="white"/>
                <w:vertAlign w:val="superscript"/>
              </w:rPr>
              <w:t> 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220,9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420,9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7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620,9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820,9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1020,9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1220,9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1420,9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1620,9</w:t>
            </w: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Постановление Правительства Российской Федерации</w:t>
            </w:r>
            <w:r>
              <w:rPr>
                <w:rFonts w:ascii="Times New Roman" w:hAnsi="Times New Roman"/>
                <w:sz w:val="20"/>
              </w:rPr>
              <w:t xml:space="preserve"> от 30 декабря 2017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1710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8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Распоряжение Правительства Российской Федерации от 28 декабря 2009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2094-</w:t>
            </w:r>
            <w:r>
              <w:rPr>
                <w:rFonts w:ascii="Times New Roman" w:hAnsi="Times New Roman"/>
                <w:sz w:val="20"/>
              </w:rPr>
              <w:t>р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8F000000">
            <w:pPr>
              <w:ind w:firstLine="0" w:left="0"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Постановление Правительства Российской Федерации от 31 мая 2019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 xml:space="preserve"> 696 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ДПП </w:t>
            </w:r>
            <w:r>
              <w:rPr>
                <w:rFonts w:ascii="Times New Roman" w:hAnsi="Times New Roman"/>
                <w:sz w:val="20"/>
              </w:rPr>
              <w:t>ЧАО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1000000">
            <w:pPr>
              <w:ind w:firstLine="2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963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400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благоустроенных жилых помещений посредством ремонта и (или) реконструкции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5000000">
            <w:pPr>
              <w:ind w:firstLine="133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«ГП РФ», «ФП»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6000000">
            <w:pPr>
              <w:ind w:firstLine="134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возрастающий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7000000">
            <w:pPr>
              <w:ind w:firstLine="34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  <w:highlight w:val="white"/>
              </w:rPr>
              <w:t>м</w:t>
            </w:r>
            <w:r>
              <w:rPr>
                <w:sz w:val="20"/>
                <w:highlight w:val="white"/>
                <w:vertAlign w:val="superscript"/>
              </w:rPr>
              <w:t> 2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8000000">
            <w:pPr>
              <w:ind w:firstLine="38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9000000">
            <w:pPr>
              <w:ind w:firstLine="38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A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B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C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D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E000000">
            <w:pPr>
              <w:ind w:firstLine="38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930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F000000">
            <w:pPr>
              <w:ind w:firstLine="38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1080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0000000">
            <w:pPr>
              <w:ind w:firstLine="38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1230</w:t>
            </w: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Постановление Правительства Российской Федерации от 30 декабря 2017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1710;</w:t>
            </w:r>
          </w:p>
          <w:p w14:paraId="A2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Распоряжение Правительства Российской Федерации о</w:t>
            </w:r>
            <w:r>
              <w:rPr>
                <w:rFonts w:ascii="Times New Roman" w:hAnsi="Times New Roman"/>
                <w:sz w:val="20"/>
              </w:rPr>
              <w:t xml:space="preserve">т 28 декабря 2009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2094-р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A3000000">
            <w:pPr>
              <w:ind w:firstLine="0" w:left="0"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Постановление Правительства Российской Федерации от 31 мая 2019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696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4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ДПП ЧАО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5000000">
            <w:pPr>
              <w:ind w:firstLine="2" w:left="0"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15870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7000000">
            <w:pPr>
              <w:pStyle w:val="Style_5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  <w:r>
              <w:rPr>
                <w:rFonts w:ascii="Times New Roman" w:hAnsi="Times New Roman"/>
                <w:b w:val="1"/>
                <w:sz w:val="20"/>
              </w:rPr>
              <w:t xml:space="preserve">. </w:t>
            </w:r>
            <w:r>
              <w:rPr>
                <w:rFonts w:ascii="Times New Roman" w:hAnsi="Times New Roman"/>
                <w:b w:val="1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sz w:val="20"/>
              </w:rPr>
              <w:t>Повышение уровня обеспеченности населения жильем</w:t>
            </w:r>
            <w:r>
              <w:rPr>
                <w:rFonts w:ascii="Times New Roman" w:hAnsi="Times New Roman"/>
                <w:b w:val="1"/>
                <w:sz w:val="20"/>
              </w:rPr>
              <w:t>»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900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Удельный вес общей площади </w:t>
            </w:r>
            <w:r>
              <w:rPr>
                <w:rFonts w:ascii="Times New Roman" w:hAnsi="Times New Roman"/>
                <w:sz w:val="20"/>
              </w:rPr>
              <w:t>жилых помещений</w:t>
            </w:r>
            <w:r>
              <w:rPr>
                <w:rFonts w:ascii="Times New Roman" w:hAnsi="Times New Roman"/>
                <w:sz w:val="20"/>
              </w:rPr>
              <w:t xml:space="preserve"> предоставленных гражданам, состоящим на учете в качестве нуждающихся в улучшении жилищных условий, по отношению к общей площади жилищного фонда 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«ГП РФ», «ФП»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возрастающий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C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 xml:space="preserve">роцент 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0,005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0,006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1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0,007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2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0,008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0,009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0,011</w:t>
            </w: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6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Постановление Правительства Российской Федерации</w:t>
            </w:r>
            <w:r>
              <w:rPr>
                <w:rFonts w:ascii="Times New Roman" w:hAnsi="Times New Roman"/>
                <w:sz w:val="20"/>
              </w:rPr>
              <w:t xml:space="preserve"> от 30 декабря 2017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1710;</w:t>
            </w:r>
          </w:p>
          <w:p w14:paraId="B7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Распоряжение Правительства Российской Федерации от 28 декабря 2009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2094-</w:t>
            </w:r>
            <w:r>
              <w:rPr>
                <w:rFonts w:ascii="Times New Roman" w:hAnsi="Times New Roman"/>
                <w:sz w:val="20"/>
              </w:rPr>
              <w:t>p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B8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fldChar w:fldCharType="begin"/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instrText>HYPERLINK "http://172.25.1.26/#/document/72260516/entry/0"</w:instrText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fldChar w:fldCharType="separate"/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t>Постановление</w:t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fldChar w:fldCharType="end"/>
            </w:r>
            <w:r>
              <w:rPr>
                <w:rFonts w:ascii="Times New Roman" w:hAnsi="Times New Roman"/>
                <w:sz w:val="20"/>
              </w:rPr>
              <w:t> Правительства Российской Феде</w:t>
            </w:r>
            <w:r>
              <w:rPr>
                <w:rFonts w:ascii="Times New Roman" w:hAnsi="Times New Roman"/>
                <w:sz w:val="20"/>
              </w:rPr>
              <w:t xml:space="preserve">рации от 31 мая 2019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696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9000000">
            <w:pPr>
              <w:ind w:hanging="43" w:left="4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ДПП ЧАО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A000000">
            <w:pPr>
              <w:ind w:firstLine="2" w:left="0"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D00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застройщиков (физических лиц), получивших субсидию на строительство объектов индивидуального жилищного строительства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«ГП РФ», «ФП»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возрастающий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0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  <w:highlight w:val="white"/>
              </w:rPr>
              <w:t>единица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1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2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3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4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5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6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7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8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9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A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Постановление Правительства Российской Федерации от 30 декабря 2017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1710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CB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Распоряжение Правительства Российской Федерации о</w:t>
            </w:r>
            <w:r>
              <w:rPr>
                <w:rFonts w:ascii="Times New Roman" w:hAnsi="Times New Roman"/>
                <w:sz w:val="20"/>
              </w:rPr>
              <w:t xml:space="preserve">т 28 декабря 2009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2094-р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CC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Постановление Правительства Российской Феде</w:t>
            </w:r>
            <w:r>
              <w:rPr>
                <w:rFonts w:ascii="Times New Roman" w:hAnsi="Times New Roman"/>
                <w:sz w:val="20"/>
              </w:rPr>
              <w:t>рации от 31 мая 2019 года №</w:t>
            </w:r>
            <w:r>
              <w:rPr>
                <w:rFonts w:ascii="Times New Roman" w:hAnsi="Times New Roman"/>
                <w:sz w:val="20"/>
              </w:rPr>
              <w:t> 696</w:t>
            </w:r>
          </w:p>
          <w:p w14:paraId="CD000000">
            <w:pPr>
              <w:ind w:hanging="48" w:left="48"/>
              <w:jc w:val="center"/>
              <w:rPr>
                <w:rFonts w:ascii="Times New Roman" w:hAnsi="Times New Roman"/>
                <w:strike w:val="1"/>
                <w:sz w:val="20"/>
              </w:rPr>
            </w:pP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ДПП ЧАО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F000000">
            <w:pPr>
              <w:ind w:firstLine="2" w:left="0"/>
              <w:jc w:val="center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15870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1000000">
            <w:pPr>
              <w:pStyle w:val="Style_5"/>
              <w:numPr>
                <w:ilvl w:val="0"/>
                <w:numId w:val="2"/>
              </w:numPr>
              <w:ind w:firstLine="53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«Обеспечение устойчивого развития Чукотского автономного округа посредством актуализации документов территориального планирования и градостроительного зонирования»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2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300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актуализированных документов территориального планирования и градостроительного зонирования в целях приведения в соответствие с федеральным и региональным законодательством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возрастающий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6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  <w:highlight w:val="white"/>
              </w:rPr>
              <w:t>единица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7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8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9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A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B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C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D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E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DF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0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Постановление Правительства Российской Федерации</w:t>
            </w:r>
            <w:r>
              <w:rPr>
                <w:rFonts w:ascii="Times New Roman" w:hAnsi="Times New Roman"/>
                <w:sz w:val="20"/>
              </w:rPr>
              <w:t xml:space="preserve"> от 30 декабря 2017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1710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E1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Распоряжение Правительства Российской Федерации о</w:t>
            </w:r>
            <w:r>
              <w:rPr>
                <w:rFonts w:ascii="Times New Roman" w:hAnsi="Times New Roman"/>
                <w:sz w:val="20"/>
              </w:rPr>
              <w:t xml:space="preserve">т 28 декабря 2009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2094-р;</w:t>
            </w:r>
          </w:p>
          <w:p w14:paraId="E2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fldChar w:fldCharType="begin"/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instrText>HYPERLINK "http://172.25.1.26/#/document/72260516/entry/0"</w:instrText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fldChar w:fldCharType="separate"/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t>Постановление</w:t>
            </w:r>
            <w:r>
              <w:rPr>
                <w:rStyle w:val="Style_6_ch"/>
                <w:rFonts w:ascii="Times New Roman" w:hAnsi="Times New Roman"/>
                <w:color w:val="000000"/>
                <w:sz w:val="20"/>
                <w:u w:val="none"/>
              </w:rPr>
              <w:fldChar w:fldCharType="end"/>
            </w:r>
            <w:r>
              <w:rPr>
                <w:rFonts w:ascii="Times New Roman" w:hAnsi="Times New Roman"/>
                <w:sz w:val="20"/>
              </w:rPr>
              <w:t xml:space="preserve"> Правительства Российской Федерации от 31 мая 2019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696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ДПП ЧАО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4000000">
            <w:pPr>
              <w:ind w:firstLine="2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документов территориального планирования и градостроительного зонирования муниципальных образований; Разработка документов ценообразования и сметного нормирования строительной отрасли Чукотского автономного округа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15870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6000000">
            <w:pPr>
              <w:pStyle w:val="Style_5"/>
              <w:numPr>
                <w:ilvl w:val="0"/>
                <w:numId w:val="2"/>
              </w:num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«Рост доли общей площади благоустроенных жилых помещений в сельских населенных пунктах»</w:t>
            </w: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5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800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type="dxa" w:w="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возрастающий</w:t>
            </w:r>
          </w:p>
        </w:tc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B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роцент</w:t>
            </w:r>
          </w:p>
        </w:tc>
        <w:tc>
          <w:tcPr>
            <w:tcW w:type="dxa" w:w="7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C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28,3</w:t>
            </w:r>
          </w:p>
        </w:tc>
        <w:tc>
          <w:tcPr>
            <w:tcW w:type="dxa" w:w="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D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type="dxa" w:w="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E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28,5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EF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28,7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0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28,9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1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29,1</w:t>
            </w:r>
          </w:p>
        </w:tc>
        <w:tc>
          <w:tcPr>
            <w:tcW w:type="dxa" w:w="7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2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29,3</w:t>
            </w:r>
          </w:p>
        </w:tc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3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29,5</w:t>
            </w:r>
          </w:p>
        </w:tc>
        <w:tc>
          <w:tcPr>
            <w:tcW w:type="dxa" w:w="7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400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29,7</w:t>
            </w:r>
          </w:p>
        </w:tc>
        <w:tc>
          <w:tcPr>
            <w:tcW w:type="dxa" w:w="10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5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Постановление Правительства Российской Федерации от 30 декабря 2017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1710;</w:t>
            </w:r>
          </w:p>
          <w:p w14:paraId="F6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Распоряжение Правительства Российской Федерации о</w:t>
            </w:r>
            <w:r>
              <w:rPr>
                <w:rFonts w:ascii="Times New Roman" w:hAnsi="Times New Roman"/>
                <w:sz w:val="20"/>
              </w:rPr>
              <w:t>т 28 декабря 2009 года №</w:t>
            </w:r>
            <w:r>
              <w:rPr>
                <w:rFonts w:ascii="Times New Roman" w:hAnsi="Times New Roman"/>
                <w:sz w:val="20"/>
              </w:rPr>
              <w:t> 2094-р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F7000000">
            <w:pPr>
              <w:ind w:hanging="48" w:left="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Постановление Правительства Российской Федерации от 31 мая 2019 года </w:t>
            </w:r>
            <w:r>
              <w:rPr>
                <w:rFonts w:ascii="Times New Roman" w:hAnsi="Times New Roman"/>
                <w:sz w:val="20"/>
              </w:rPr>
              <w:t>№</w:t>
            </w:r>
            <w:r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696</w:t>
            </w:r>
          </w:p>
        </w:tc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ДПП ЧАО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9000000">
            <w:pPr>
              <w:ind w:firstLine="0" w:left="0"/>
              <w:rPr>
                <w:rFonts w:ascii="Times New Roman" w:hAnsi="Times New Roman"/>
                <w:sz w:val="20"/>
              </w:rPr>
            </w:pPr>
          </w:p>
          <w:p w14:paraId="FA000000">
            <w:pPr>
              <w:ind w:firstLine="2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type="dxa" w:w="8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F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FC000000">
      <w:pPr>
        <w:ind/>
        <w:jc w:val="center"/>
        <w:rPr>
          <w:rFonts w:ascii="Times New Roman" w:hAnsi="Times New Roman"/>
          <w:b w:val="1"/>
          <w:sz w:val="16"/>
        </w:rPr>
      </w:pPr>
    </w:p>
    <w:p w14:paraId="FD000000">
      <w:pPr>
        <w:ind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b w:val="1"/>
        </w:rPr>
        <w:t xml:space="preserve">3. План достижения показателей государственной программы в </w:t>
      </w:r>
      <w:r>
        <w:rPr>
          <w:rFonts w:ascii="Times New Roman" w:hAnsi="Times New Roman"/>
          <w:b w:val="1"/>
        </w:rPr>
        <w:t>2024</w:t>
      </w:r>
      <w:r>
        <w:rPr>
          <w:rFonts w:ascii="Times New Roman" w:hAnsi="Times New Roman"/>
          <w:b w:val="1"/>
        </w:rPr>
        <w:t xml:space="preserve"> году</w:t>
      </w:r>
    </w:p>
    <w:p w14:paraId="FE000000">
      <w:pPr>
        <w:ind/>
        <w:jc w:val="center"/>
        <w:rPr>
          <w:rFonts w:ascii="Times New Roman" w:hAnsi="Times New Roman"/>
          <w:b w:val="1"/>
          <w:sz w:val="16"/>
        </w:rPr>
      </w:pPr>
    </w:p>
    <w:tbl>
      <w:tblPr>
        <w:tblStyle w:val="Style_3"/>
        <w:tblW w:type="auto" w:w="0"/>
        <w:tblInd w:type="dxa" w:w="29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6"/>
          <w:right w:type="dxa" w:w="6"/>
        </w:tblCellMar>
      </w:tblPr>
      <w:tblGrid>
        <w:gridCol w:w="595"/>
        <w:gridCol w:w="4649"/>
        <w:gridCol w:w="1674"/>
        <w:gridCol w:w="1161"/>
        <w:gridCol w:w="580"/>
        <w:gridCol w:w="580"/>
        <w:gridCol w:w="584"/>
        <w:gridCol w:w="584"/>
        <w:gridCol w:w="584"/>
        <w:gridCol w:w="584"/>
        <w:gridCol w:w="584"/>
        <w:gridCol w:w="584"/>
        <w:gridCol w:w="584"/>
        <w:gridCol w:w="584"/>
        <w:gridCol w:w="660"/>
        <w:gridCol w:w="1288"/>
      </w:tblGrid>
      <w:tr>
        <w:trPr>
          <w:trHeight w:hRule="atLeast" w:val="349"/>
          <w:tblHeader/>
        </w:trPr>
        <w:tc>
          <w:tcPr>
            <w:tcW w:type="dxa" w:w="5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FF000000">
            <w:pPr>
              <w:spacing w:after="60" w:before="60" w:line="240" w:lineRule="atLeast"/>
              <w:ind w:firstLine="284" w:left="-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00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п/п</w:t>
            </w:r>
          </w:p>
        </w:tc>
        <w:tc>
          <w:tcPr>
            <w:tcW w:type="dxa" w:w="46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1010000">
            <w:pPr>
              <w:spacing w:line="240" w:lineRule="atLeast"/>
              <w:ind w:firstLine="0" w:left="-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Цели/показатели </w:t>
            </w:r>
          </w:p>
          <w:p w14:paraId="02010000">
            <w:pPr>
              <w:spacing w:line="240" w:lineRule="atLeast"/>
              <w:ind w:firstLine="0" w:left="-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государственной программы</w:t>
            </w:r>
          </w:p>
        </w:tc>
        <w:tc>
          <w:tcPr>
            <w:tcW w:type="dxa" w:w="16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3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Уровень показателя</w:t>
            </w:r>
          </w:p>
        </w:tc>
        <w:tc>
          <w:tcPr>
            <w:tcW w:type="dxa" w:w="11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4010000">
            <w:pPr>
              <w:spacing w:line="240" w:lineRule="atLeast"/>
              <w:ind w:firstLine="0" w:left="8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  <w:p w14:paraId="05010000">
            <w:pPr>
              <w:spacing w:line="240" w:lineRule="atLeast"/>
              <w:ind w:firstLine="0" w:left="-5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 ОКЕИ)</w:t>
            </w:r>
          </w:p>
        </w:tc>
        <w:tc>
          <w:tcPr>
            <w:tcW w:type="dxa" w:w="649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6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по месяцам</w:t>
            </w:r>
          </w:p>
        </w:tc>
        <w:tc>
          <w:tcPr>
            <w:tcW w:type="dxa" w:w="12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7010000">
            <w:pPr>
              <w:spacing w:line="240" w:lineRule="atLeast"/>
              <w:ind w:firstLine="0" w:left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конец (указывается год) года</w:t>
            </w:r>
          </w:p>
        </w:tc>
      </w:tr>
      <w:tr>
        <w:trPr>
          <w:trHeight w:hRule="atLeast" w:val="533"/>
          <w:tblHeader/>
        </w:trPr>
        <w:tc>
          <w:tcPr>
            <w:tcW w:type="dxa" w:w="5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46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16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11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8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янв.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9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фев.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A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март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B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апр.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C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D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июнь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E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июль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0F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авг.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0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сен.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1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окт.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2010000">
            <w:pPr>
              <w:spacing w:after="60" w:before="60" w:line="240" w:lineRule="atLeast"/>
              <w:ind w:firstLine="0" w:left="-7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ноя.</w:t>
            </w:r>
          </w:p>
        </w:tc>
        <w:tc>
          <w:tcPr>
            <w:tcW w:type="dxa" w:w="12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/>
        </w:tc>
      </w:tr>
      <w:tr>
        <w:trPr>
          <w:trHeight w:hRule="atLeast" w:val="16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3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4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2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5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3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16010000">
            <w:pPr>
              <w:spacing w:line="240" w:lineRule="atLeast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17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18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9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A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B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C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D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E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1F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20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21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22010000">
            <w:pPr>
              <w:spacing w:line="240" w:lineRule="atLeast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atLeast" w:val="161"/>
        </w:trPr>
        <w:tc>
          <w:tcPr>
            <w:tcW w:type="dxa" w:w="15859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23010000">
            <w:pPr>
              <w:spacing w:line="240" w:lineRule="atLeast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1.</w:t>
            </w:r>
            <w:r>
              <w:rPr>
                <w:rFonts w:ascii="Times New Roman" w:hAnsi="Times New Roman"/>
                <w:b w:val="1"/>
                <w:sz w:val="20"/>
              </w:rPr>
              <w:tab/>
            </w:r>
            <w:r>
              <w:rPr>
                <w:rFonts w:ascii="Times New Roman" w:hAnsi="Times New Roman"/>
                <w:b w:val="1"/>
                <w:sz w:val="20"/>
              </w:rPr>
              <w:t>«Создание безопасных и благоприятных условий проживания граждан, реализация государственной политики в области жилищного строительства»</w:t>
            </w:r>
          </w:p>
        </w:tc>
      </w:tr>
      <w:tr>
        <w:trPr>
          <w:trHeight w:hRule="atLeast" w:val="16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24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501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выкупленных жилых помещений у лиц, не являющихся застройщиками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6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возрастающий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7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sz w:val="20"/>
                <w:highlight w:val="white"/>
              </w:rPr>
              <w:t>м</w:t>
            </w:r>
            <w:r>
              <w:rPr>
                <w:sz w:val="20"/>
                <w:highlight w:val="white"/>
                <w:vertAlign w:val="superscript"/>
              </w:rPr>
              <w:t> 2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8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9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A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B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C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D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E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2F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0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1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2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</w:t>
            </w:r>
          </w:p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3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420,9</w:t>
            </w:r>
          </w:p>
        </w:tc>
      </w:tr>
      <w:tr>
        <w:trPr>
          <w:trHeight w:hRule="atLeast" w:val="161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  <w:vAlign w:val="center"/>
          </w:tcPr>
          <w:p w14:paraId="34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501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благоустроенных жилых помещений посредством ремонта и (или) реконструкции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6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возрастающий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7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sz w:val="20"/>
                <w:highlight w:val="white"/>
              </w:rPr>
              <w:t>м</w:t>
            </w:r>
            <w:r>
              <w:rPr>
                <w:sz w:val="20"/>
                <w:highlight w:val="white"/>
                <w:vertAlign w:val="superscript"/>
              </w:rPr>
              <w:t> 2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8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9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A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B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C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D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E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3F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0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1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2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3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</w:tr>
      <w:tr>
        <w:trPr>
          <w:trHeight w:hRule="atLeast" w:val="227"/>
        </w:trPr>
        <w:tc>
          <w:tcPr>
            <w:tcW w:type="dxa" w:w="15859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4010000">
            <w:pPr>
              <w:spacing w:line="240" w:lineRule="atLeast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2. </w:t>
            </w:r>
            <w:r>
              <w:rPr>
                <w:rFonts w:ascii="Times New Roman" w:hAnsi="Times New Roman"/>
                <w:b w:val="1"/>
                <w:sz w:val="20"/>
              </w:rPr>
              <w:t>«Повышение уровня обеспеченности населения жильем»</w:t>
            </w:r>
          </w:p>
        </w:tc>
      </w:tr>
      <w:tr>
        <w:trPr>
          <w:trHeight w:hRule="atLeast" w:val="22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501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601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Удельный вес общей площади жилых помещений предоставленных гражданам, состоящим на учете в качестве нуждающихся в улучшении жилищных условий, по отношению к общей площади жилищного фонда 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47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возрастающий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8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9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A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B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C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D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E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4F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0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1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0,002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2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0,003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3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0,005</w:t>
            </w:r>
          </w:p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4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0,005</w:t>
            </w:r>
          </w:p>
        </w:tc>
      </w:tr>
      <w:tr>
        <w:trPr>
          <w:trHeight w:hRule="atLeast" w:val="22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5501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56010000">
            <w:pPr>
              <w:ind w:firstLine="0"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застройщиков (физических лиц), получивших субсидию на строительство объектов индивидуального жилищного строительства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57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возрастающий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8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  <w:highlight w:val="white"/>
              </w:rPr>
              <w:t>единица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9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A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B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C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D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E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5F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0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1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2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3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4010000">
            <w:pPr>
              <w:ind w:firstLine="4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>
        <w:trPr>
          <w:trHeight w:hRule="atLeast" w:val="227"/>
        </w:trPr>
        <w:tc>
          <w:tcPr>
            <w:tcW w:type="dxa" w:w="15859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65010000">
            <w:pPr>
              <w:spacing w:line="240" w:lineRule="atLeast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3. </w:t>
            </w:r>
            <w:r>
              <w:rPr>
                <w:rFonts w:ascii="Times New Roman" w:hAnsi="Times New Roman"/>
                <w:b w:val="1"/>
                <w:sz w:val="20"/>
              </w:rPr>
              <w:t>«Обеспечение устойчивого развития Чукотского автономного округа посредством актуализации документов территориального планирования и градостроительного зонирования»</w:t>
            </w:r>
          </w:p>
        </w:tc>
      </w:tr>
      <w:tr>
        <w:trPr>
          <w:trHeight w:hRule="atLeast" w:val="22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6601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67010000">
            <w:pPr>
              <w:pStyle w:val="Style_7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актуализированных документов территориального планирования и градостроительного зонирования в целях приведения в соответствие с федеральным и региональным законодательством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68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возрастающий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9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sz w:val="20"/>
                <w:highlight w:val="white"/>
              </w:rPr>
              <w:t>единица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A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B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C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D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E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6F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0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1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2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3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4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5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>
        <w:trPr>
          <w:trHeight w:hRule="atLeast" w:val="227"/>
        </w:trPr>
        <w:tc>
          <w:tcPr>
            <w:tcW w:type="dxa" w:w="15859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76010000">
            <w:pPr>
              <w:spacing w:line="240" w:lineRule="atLeast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4. </w:t>
            </w:r>
            <w:r>
              <w:rPr>
                <w:rFonts w:ascii="Times New Roman" w:hAnsi="Times New Roman"/>
                <w:b w:val="1"/>
                <w:sz w:val="20"/>
              </w:rPr>
              <w:t>«Рост доли общей площади благоустроенных жилых помещений в сельских населенных пунктах»</w:t>
            </w:r>
          </w:p>
        </w:tc>
      </w:tr>
      <w:tr>
        <w:trPr>
          <w:trHeight w:hRule="atLeast" w:val="22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77010000">
            <w:pPr>
              <w:pStyle w:val="Style_7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78010000">
            <w:pPr>
              <w:pStyle w:val="Style_7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6"/>
              <w:right w:type="dxa" w:w="6"/>
            </w:tcMar>
          </w:tcPr>
          <w:p w14:paraId="79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  <w:u w:color="000000"/>
              </w:rPr>
            </w:pPr>
            <w:r>
              <w:rPr>
                <w:rFonts w:ascii="Times New Roman" w:hAnsi="Times New Roman"/>
                <w:sz w:val="20"/>
                <w:u w:color="000000"/>
              </w:rPr>
              <w:t>возрастающий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A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B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C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D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E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7F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80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8101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82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83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28,4</w:t>
            </w:r>
          </w:p>
        </w:tc>
        <w:tc>
          <w:tcPr>
            <w:tcW w:type="dxa" w:w="5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84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28,5</w:t>
            </w:r>
          </w:p>
        </w:tc>
        <w:tc>
          <w:tcPr>
            <w:tcW w:type="dxa" w:w="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85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28,5</w:t>
            </w:r>
          </w:p>
        </w:tc>
        <w:tc>
          <w:tcPr>
            <w:tcW w:type="dxa" w:w="1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6"/>
              <w:right w:type="dxa" w:w="6"/>
            </w:tcMar>
          </w:tcPr>
          <w:p w14:paraId="86010000">
            <w:pPr>
              <w:spacing w:line="240" w:lineRule="atLeast"/>
              <w:ind w:firstLine="36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28,5</w:t>
            </w:r>
          </w:p>
        </w:tc>
      </w:tr>
    </w:tbl>
    <w:p w14:paraId="87010000">
      <w:pPr>
        <w:ind w:firstLine="0" w:left="0"/>
        <w:jc w:val="center"/>
        <w:rPr>
          <w:rFonts w:ascii="Times New Roman" w:hAnsi="Times New Roman"/>
          <w:b w:val="1"/>
          <w:sz w:val="16"/>
        </w:rPr>
      </w:pPr>
    </w:p>
    <w:p w14:paraId="88010000">
      <w:pPr>
        <w:ind w:firstLine="0" w:left="0"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b w:val="1"/>
        </w:rPr>
        <w:t xml:space="preserve">4. Структура государственной программы </w:t>
      </w:r>
    </w:p>
    <w:p w14:paraId="89010000">
      <w:pPr>
        <w:ind/>
        <w:jc w:val="center"/>
        <w:rPr>
          <w:rFonts w:ascii="Times New Roman" w:hAnsi="Times New Roman"/>
          <w:b w:val="1"/>
          <w:sz w:val="16"/>
        </w:rPr>
      </w:pPr>
    </w:p>
    <w:tbl>
      <w:tblPr>
        <w:tblStyle w:val="Style_3"/>
        <w:tblpPr w:bottomFromText="0" w:horzAnchor="text" w:leftFromText="180" w:rightFromText="180" w:tblpX="289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570"/>
        <w:gridCol w:w="4882"/>
        <w:gridCol w:w="2660"/>
        <w:gridCol w:w="203"/>
        <w:gridCol w:w="4021"/>
        <w:gridCol w:w="349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8A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8B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8C010000">
            <w:pPr>
              <w:ind w:firstLine="0" w:left="48" w:right="1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Задачи структурного элемента 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8D010000">
            <w:pPr>
              <w:ind w:firstLine="0" w:left="127" w:right="1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8E010000">
            <w:pPr>
              <w:ind w:firstLine="0" w:left="136" w:right="15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Связь с показателями 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8F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0010000">
            <w:pPr>
              <w:ind w:firstLine="0" w:left="48" w:right="1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1010000">
            <w:pPr>
              <w:ind w:firstLine="0" w:left="127" w:right="14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2010000">
            <w:pPr>
              <w:ind w:firstLine="0" w:left="136" w:right="15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>
        <w:trPr>
          <w:trHeight w:hRule="atLeast" w:val="28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3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  <w:tc>
          <w:tcPr>
            <w:tcW w:type="dxa" w:w="1526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94010000">
            <w:pPr>
              <w:ind w:firstLine="0" w:left="136" w:right="15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Региональный проект «</w:t>
            </w:r>
            <w:r>
              <w:rPr>
                <w:rFonts w:ascii="Times New Roman" w:hAnsi="Times New Roman"/>
                <w:b w:val="1"/>
                <w:sz w:val="20"/>
              </w:rPr>
              <w:t>Жилье</w:t>
            </w:r>
            <w:r>
              <w:rPr>
                <w:rFonts w:ascii="Times New Roman" w:hAnsi="Times New Roman"/>
                <w:sz w:val="20"/>
              </w:rPr>
              <w:t xml:space="preserve">» </w:t>
            </w:r>
            <w:r>
              <w:rPr>
                <w:rFonts w:ascii="Times New Roman" w:hAnsi="Times New Roman"/>
                <w:b w:val="1"/>
                <w:sz w:val="20"/>
              </w:rPr>
              <w:t>(</w:t>
            </w:r>
            <w:r>
              <w:rPr>
                <w:rFonts w:ascii="Times New Roman" w:hAnsi="Times New Roman"/>
                <w:b w:val="1"/>
                <w:sz w:val="20"/>
              </w:rPr>
              <w:t>Солонский Константин Юрьевич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- куратор</w:t>
            </w:r>
            <w:r>
              <w:rPr>
                <w:rFonts w:ascii="Times New Roman" w:hAnsi="Times New Roman"/>
                <w:b w:val="1"/>
                <w:sz w:val="20"/>
              </w:rPr>
              <w:t>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7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6010000">
            <w:pPr>
              <w:ind w:firstLine="0" w:left="127" w:right="148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(Департамент </w:t>
            </w:r>
            <w:r>
              <w:rPr>
                <w:rFonts w:ascii="Times New Roman" w:hAnsi="Times New Roman"/>
                <w:b w:val="1"/>
                <w:sz w:val="20"/>
              </w:rPr>
              <w:t>промышленной политики</w:t>
            </w:r>
            <w:r>
              <w:rPr>
                <w:rFonts w:ascii="Times New Roman" w:hAnsi="Times New Roman"/>
                <w:b w:val="1"/>
                <w:sz w:val="20"/>
              </w:rPr>
              <w:t xml:space="preserve"> Чукотского автономного округа)</w:t>
            </w:r>
          </w:p>
        </w:tc>
        <w:tc>
          <w:tcPr>
            <w:tcW w:type="dxa" w:w="75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7010000">
            <w:pPr>
              <w:ind w:firstLine="0" w:left="136" w:right="152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 </w:t>
            </w:r>
            <w:r>
              <w:rPr>
                <w:rFonts w:ascii="Times New Roman" w:hAnsi="Times New Roman"/>
                <w:b w:val="1"/>
                <w:sz w:val="20"/>
              </w:rPr>
              <w:t>Срок реализации (</w:t>
            </w:r>
            <w:r>
              <w:rPr>
                <w:rFonts w:ascii="Times New Roman" w:hAnsi="Times New Roman"/>
                <w:b w:val="1"/>
                <w:sz w:val="20"/>
              </w:rPr>
              <w:t>2024 - 2030</w:t>
            </w:r>
            <w:r>
              <w:rPr>
                <w:rFonts w:ascii="Times New Roman" w:hAnsi="Times New Roman"/>
                <w:b w:val="1"/>
                <w:sz w:val="20"/>
              </w:rPr>
              <w:t>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8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9010000">
            <w:pPr>
              <w:ind w:firstLine="0" w:left="48" w:right="1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беспечение мероприятий по р</w:t>
            </w:r>
            <w:r>
              <w:rPr>
                <w:rFonts w:ascii="Times New Roman" w:hAnsi="Times New Roman"/>
                <w:sz w:val="20"/>
              </w:rPr>
              <w:t>азвитию жилищного строительства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A010000">
            <w:pPr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z w:val="20"/>
              </w:rPr>
              <w:t>величение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объемов жилищного строительства, в первую очередь, стандартного жилья, в том числе индивидуального жилищного строительства;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</w:t>
            </w:r>
            <w:r>
              <w:rPr>
                <w:rFonts w:ascii="Times New Roman" w:hAnsi="Times New Roman"/>
                <w:sz w:val="20"/>
              </w:rPr>
              <w:t>еализация гражданами права на безопасные и б</w:t>
            </w:r>
            <w:r>
              <w:rPr>
                <w:rFonts w:ascii="Times New Roman" w:hAnsi="Times New Roman"/>
                <w:sz w:val="20"/>
              </w:rPr>
              <w:t>лагоприятные условия проживания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B01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C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  <w:tc>
          <w:tcPr>
            <w:tcW w:type="dxa" w:w="1526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D010000">
            <w:pPr>
              <w:ind w:firstLine="0" w:left="136" w:right="15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</w:t>
            </w:r>
            <w:r>
              <w:rPr>
                <w:rFonts w:ascii="Times New Roman" w:hAnsi="Times New Roman"/>
                <w:b w:val="1"/>
                <w:sz w:val="20"/>
              </w:rPr>
              <w:t xml:space="preserve">процессных </w:t>
            </w:r>
            <w:r>
              <w:rPr>
                <w:rFonts w:ascii="Times New Roman" w:hAnsi="Times New Roman"/>
                <w:b w:val="1"/>
                <w:sz w:val="20"/>
              </w:rPr>
              <w:t>мер</w:t>
            </w:r>
            <w:r>
              <w:rPr>
                <w:rFonts w:ascii="Times New Roman" w:hAnsi="Times New Roman"/>
                <w:b w:val="1"/>
                <w:sz w:val="20"/>
              </w:rPr>
              <w:t>оприятий</w:t>
            </w:r>
            <w:r>
              <w:rPr>
                <w:rFonts w:ascii="Times New Roman" w:hAnsi="Times New Roman"/>
                <w:b w:val="1"/>
                <w:sz w:val="20"/>
              </w:rPr>
              <w:t xml:space="preserve"> «Обеспечение формирования муниципального жилищного фонда»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E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5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9F01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- </w:t>
            </w:r>
            <w:r>
              <w:rPr>
                <w:rFonts w:ascii="Times New Roman" w:hAnsi="Times New Roman"/>
                <w:b w:val="1"/>
                <w:sz w:val="20"/>
              </w:rPr>
              <w:t>Департамент промышленной политик</w:t>
            </w:r>
            <w:r>
              <w:rPr>
                <w:rFonts w:ascii="Times New Roman" w:hAnsi="Times New Roman"/>
                <w:b w:val="1"/>
                <w:sz w:val="20"/>
              </w:rPr>
              <w:t>и Чукотского автономного округа</w:t>
            </w:r>
          </w:p>
        </w:tc>
        <w:tc>
          <w:tcPr>
            <w:tcW w:type="dxa" w:w="771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0010000">
            <w:pPr>
              <w:ind w:firstLine="0" w:left="136" w:right="152"/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rPr>
          <w:trHeight w:hRule="atLeast" w:val="1186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1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2010000">
            <w:pPr>
              <w:ind w:firstLine="0" w:left="48" w:right="1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>
              <w:rPr>
                <w:rFonts w:ascii="Times New Roman" w:hAnsi="Times New Roman"/>
                <w:sz w:val="20"/>
              </w:rPr>
              <w:t>емонт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3010000">
            <w:pPr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овышение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уровня и комфорта жи</w:t>
            </w:r>
            <w:r>
              <w:rPr>
                <w:rFonts w:ascii="Times New Roman" w:hAnsi="Times New Roman"/>
                <w:sz w:val="20"/>
              </w:rPr>
              <w:t>зни населения в городской среде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401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>
        <w:trPr>
          <w:trHeight w:hRule="atLeast" w:val="165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5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  <w:tc>
          <w:tcPr>
            <w:tcW w:type="dxa" w:w="1526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601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sz w:val="20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hAnsi="Times New Roman"/>
                <w:b w:val="1"/>
                <w:sz w:val="20"/>
              </w:rPr>
              <w:t>»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</w:p>
        </w:tc>
      </w:tr>
      <w:tr>
        <w:trPr>
          <w:trHeight w:hRule="atLeast" w:val="165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7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75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8010000">
            <w:pPr>
              <w:ind w:firstLine="0" w:left="127" w:right="148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- </w:t>
            </w:r>
            <w:r>
              <w:rPr>
                <w:rFonts w:ascii="Times New Roman" w:hAnsi="Times New Roman"/>
                <w:b w:val="1"/>
                <w:sz w:val="20"/>
              </w:rPr>
              <w:t>Департамент промышленной политик</w:t>
            </w:r>
            <w:r>
              <w:rPr>
                <w:rFonts w:ascii="Times New Roman" w:hAnsi="Times New Roman"/>
                <w:b w:val="1"/>
                <w:sz w:val="20"/>
              </w:rPr>
              <w:t>и Чукотского автономного округа</w:t>
            </w:r>
          </w:p>
        </w:tc>
        <w:tc>
          <w:tcPr>
            <w:tcW w:type="dxa" w:w="771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9010000">
            <w:pPr>
              <w:ind w:firstLine="0" w:left="136" w:right="152"/>
              <w:jc w:val="left"/>
              <w:rPr>
                <w:rFonts w:ascii="Times New Roman" w:hAnsi="Times New Roman"/>
                <w:b w:val="1"/>
                <w:strike w:val="1"/>
                <w:sz w:val="20"/>
              </w:rPr>
            </w:pPr>
          </w:p>
        </w:tc>
      </w:tr>
      <w:tr>
        <w:trPr>
          <w:trHeight w:hRule="atLeast" w:val="165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A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10000">
            <w:pPr>
              <w:widowControl w:val="1"/>
              <w:ind w:firstLine="0" w:left="48" w:right="157"/>
              <w:jc w:val="left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беспечение органов местного самоуправления документами территориального планирования и градостроительного зонирования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C010000">
            <w:pPr>
              <w:widowControl w:val="1"/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>оответствие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документов территориального планирования и градостроительного зонирования требованиям федерального и</w:t>
            </w:r>
            <w:r>
              <w:rPr>
                <w:rFonts w:ascii="Times New Roman" w:hAnsi="Times New Roman"/>
                <w:sz w:val="20"/>
              </w:rPr>
              <w:t xml:space="preserve"> регионального законодательства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</w:p>
        </w:tc>
      </w:tr>
      <w:tr>
        <w:trPr>
          <w:trHeight w:hRule="atLeast" w:val="165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AE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882"/>
            <w:tcBorders>
              <w:top w:sz="4" w:val="nil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10000">
            <w:pPr>
              <w:ind w:firstLine="0" w:left="48" w:right="157"/>
              <w:jc w:val="left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z w:val="20"/>
              </w:rPr>
              <w:t>несени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 xml:space="preserve"> изменений в документы территориального планирования Чукотского автономного округа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0010000">
            <w:pPr>
              <w:widowControl w:val="1"/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овышение уровня и комфорта отдыха граждан в местах</w:t>
            </w:r>
            <w:r>
              <w:rPr>
                <w:rFonts w:ascii="Times New Roman" w:hAnsi="Times New Roman"/>
                <w:sz w:val="20"/>
              </w:rPr>
              <w:t xml:space="preserve"> массового пребывания населения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1010000">
            <w:pPr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</w:p>
        </w:tc>
      </w:tr>
      <w:tr>
        <w:trPr>
          <w:trHeight w:hRule="atLeast" w:val="165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2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  <w:tc>
          <w:tcPr>
            <w:tcW w:type="dxa" w:w="1526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3010000">
            <w:pPr>
              <w:ind w:firstLine="0" w:left="136" w:right="152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sz w:val="20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hAnsi="Times New Roman"/>
                <w:b w:val="1"/>
                <w:sz w:val="20"/>
              </w:rPr>
              <w:t>»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</w:p>
        </w:tc>
      </w:tr>
      <w:tr>
        <w:trPr>
          <w:trHeight w:hRule="atLeast" w:val="165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4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75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501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Ответственный за реализацию (Департамент промышленной политики Чукотского автономного округа)</w:t>
            </w:r>
          </w:p>
        </w:tc>
        <w:tc>
          <w:tcPr>
            <w:tcW w:type="dxa" w:w="771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601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trike w:val="1"/>
                <w:sz w:val="20"/>
              </w:rPr>
            </w:pPr>
          </w:p>
        </w:tc>
      </w:tr>
      <w:tr>
        <w:trPr>
          <w:trHeight w:hRule="atLeast" w:val="165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7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8010000">
            <w:pPr>
              <w:ind w:firstLine="0" w:left="48" w:right="157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мониторинга сметных цен и расчет индексов изменения сметной стоимости строительных и ремонтных работ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10000">
            <w:pPr>
              <w:widowControl w:val="1"/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количества выполненных мероприятий по мониторингу сметных цен и расчету индексов изменения сметной стоимости строительно-монтажных работ для Чукотского автономного округа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A01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</w:p>
        </w:tc>
      </w:tr>
      <w:tr>
        <w:trPr>
          <w:trHeight w:hRule="atLeast" w:val="26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B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  <w:tc>
          <w:tcPr>
            <w:tcW w:type="dxa" w:w="1526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C01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sz w:val="20"/>
              </w:rPr>
              <w:t>Обеспечение жителей индивидуальным жильем</w:t>
            </w:r>
            <w:r>
              <w:rPr>
                <w:rFonts w:ascii="Times New Roman" w:hAnsi="Times New Roman"/>
                <w:b w:val="1"/>
                <w:sz w:val="20"/>
              </w:rPr>
              <w:t>»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</w:p>
        </w:tc>
      </w:tr>
      <w:tr>
        <w:trPr>
          <w:trHeight w:hRule="atLeast" w:val="26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D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75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E01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Ответственный за реализацию (Департамент промышленной политики Чукотского автономного округа)</w:t>
            </w:r>
          </w:p>
        </w:tc>
        <w:tc>
          <w:tcPr>
            <w:tcW w:type="dxa" w:w="771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BF010000">
            <w:pPr>
              <w:ind w:firstLine="0" w:left="136" w:right="152"/>
              <w:jc w:val="left"/>
              <w:rPr>
                <w:rFonts w:ascii="Times New Roman" w:hAnsi="Times New Roman"/>
                <w:b w:val="1"/>
                <w:strike w:val="1"/>
                <w:sz w:val="20"/>
              </w:rPr>
            </w:pPr>
          </w:p>
        </w:tc>
      </w:tr>
      <w:tr>
        <w:trPr>
          <w:trHeight w:hRule="atLeast" w:val="1158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0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1010000">
            <w:pPr>
              <w:ind w:firstLine="0" w:left="48" w:right="157"/>
              <w:jc w:val="left"/>
              <w:rPr>
                <w:rFonts w:ascii="Times New Roman" w:hAnsi="Times New Roman"/>
                <w:b w:val="1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Оказание поддержки на развитие индивидуального жилищного строительства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2010000">
            <w:pPr>
              <w:widowControl w:val="1"/>
              <w:ind w:firstLine="0" w:left="127" w:right="148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гражданами права на безопасные и б</w:t>
            </w:r>
            <w:r>
              <w:rPr>
                <w:rFonts w:ascii="Times New Roman" w:hAnsi="Times New Roman"/>
                <w:sz w:val="20"/>
              </w:rPr>
              <w:t>лагоприятные условия проживания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301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>
        <w:trPr>
          <w:trHeight w:hRule="atLeast" w:val="26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4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  <w:tc>
          <w:tcPr>
            <w:tcW w:type="dxa" w:w="1526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501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«Обеспечение жителей доступным и комфортным жильем» </w:t>
            </w:r>
          </w:p>
        </w:tc>
      </w:tr>
      <w:tr>
        <w:trPr>
          <w:trHeight w:hRule="atLeast" w:val="26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601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754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701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Ответственный за реализацию (Департамент промышленной политики Чукотского автономного округа)</w:t>
            </w:r>
          </w:p>
        </w:tc>
        <w:tc>
          <w:tcPr>
            <w:tcW w:type="dxa" w:w="771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8010000">
            <w:pPr>
              <w:ind w:firstLine="0" w:left="136" w:right="152"/>
              <w:jc w:val="left"/>
              <w:rPr>
                <w:rFonts w:ascii="Times New Roman" w:hAnsi="Times New Roman"/>
                <w:b w:val="1"/>
                <w:strike w:val="1"/>
                <w:sz w:val="20"/>
                <w:highlight w:val="yellow"/>
              </w:rPr>
            </w:pPr>
          </w:p>
        </w:tc>
      </w:tr>
      <w:tr>
        <w:trPr>
          <w:trHeight w:hRule="atLeast" w:val="642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9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48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A010000">
            <w:pPr>
              <w:ind w:firstLine="0" w:left="48" w:right="157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>
              <w:rPr>
                <w:rFonts w:ascii="Times New Roman" w:hAnsi="Times New Roman"/>
                <w:sz w:val="20"/>
              </w:rPr>
              <w:t>величение объемов жилищного строительства</w:t>
            </w:r>
          </w:p>
        </w:tc>
        <w:tc>
          <w:tcPr>
            <w:tcW w:type="dxa" w:w="688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B010000">
            <w:pPr>
              <w:ind w:firstLine="0" w:left="48" w:right="15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 xml:space="preserve">оздание условий для роста предложений на рынке жилья,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z w:val="20"/>
              </w:rPr>
              <w:t>оответствующего потребностям различных групп населения</w:t>
            </w:r>
          </w:p>
        </w:tc>
        <w:tc>
          <w:tcPr>
            <w:tcW w:type="dxa" w:w="3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CC010000">
            <w:pPr>
              <w:ind w:firstLine="0" w:left="136" w:right="152"/>
              <w:rPr>
                <w:rFonts w:ascii="Times New Roman" w:hAnsi="Times New Roman"/>
                <w:b w:val="1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</w:tbl>
    <w:p w14:paraId="CD010000">
      <w:pPr>
        <w:ind w:firstLine="0" w:left="0"/>
        <w:jc w:val="center"/>
        <w:rPr>
          <w:rFonts w:ascii="Times New Roman" w:hAnsi="Times New Roman"/>
          <w:b w:val="1"/>
          <w:sz w:val="8"/>
        </w:rPr>
      </w:pPr>
    </w:p>
    <w:p w14:paraId="CE010000">
      <w:pPr>
        <w:ind w:firstLine="0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5. Финансовое обеспечение государственной программы</w:t>
      </w:r>
    </w:p>
    <w:p w14:paraId="CF010000">
      <w:pPr>
        <w:ind w:firstLine="0" w:left="0"/>
        <w:jc w:val="center"/>
        <w:rPr>
          <w:rFonts w:ascii="Times New Roman" w:hAnsi="Times New Roman"/>
          <w:b w:val="1"/>
          <w:sz w:val="8"/>
        </w:rPr>
      </w:pPr>
    </w:p>
    <w:tbl>
      <w:tblPr>
        <w:tblStyle w:val="Style_3"/>
        <w:tblpPr w:bottomFromText="0" w:horzAnchor="text" w:leftFromText="180" w:rightFromText="180" w:tblpX="392" w:tblpY="1" w:topFromText="0" w:vertAnchor="text"/>
        <w:tblW w:type="auto" w:w="0"/>
        <w:tblLayout w:type="fixed"/>
      </w:tblPr>
      <w:tblGrid>
        <w:gridCol w:w="4219"/>
        <w:gridCol w:w="1590"/>
        <w:gridCol w:w="1530"/>
        <w:gridCol w:w="1336"/>
        <w:gridCol w:w="1336"/>
        <w:gridCol w:w="1330"/>
        <w:gridCol w:w="1429"/>
        <w:gridCol w:w="1398"/>
        <w:gridCol w:w="1709"/>
        <w:gridCol w:w="7"/>
      </w:tblGrid>
      <w:tr>
        <w:trPr>
          <w:trHeight w:hRule="atLeast" w:val="343"/>
        </w:trPr>
        <w:tc>
          <w:tcPr>
            <w:tcW w:type="dxa" w:w="42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D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государственной программы, структурного элемента / источник финансового обеспечения </w:t>
            </w:r>
          </w:p>
        </w:tc>
        <w:tc>
          <w:tcPr>
            <w:tcW w:type="dxa" w:w="1166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348"/>
        </w:trPr>
        <w:tc>
          <w:tcPr>
            <w:tcW w:type="dxa" w:w="42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/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ind w:hanging="8" w:left="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ind w:hanging="68" w:left="6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ind w:firstLine="15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ind w:hanging="44" w:left="4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ind w:firstLine="31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82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D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ind w:firstLine="51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1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ind w:firstLine="74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ind w:firstLine="157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ind w:firstLine="82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ind w:firstLine="18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ind w:firstLine="172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ind w:firstLine="18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7"/>
          </w:tcPr>
          <w:p/>
        </w:tc>
      </w:tr>
      <w:tr>
        <w:trPr>
          <w:trHeight w:hRule="atLeast" w:val="359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E3010000">
            <w:pPr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Государственная программа всего, 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745 461,10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822 281,90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146 164,00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146 164,00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146 164,00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146 164,00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146 164,00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2 298 563,00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1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EC01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 всего, из них: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745 461,10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822 281,90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146 164,00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146 164,00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146 164,00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146 164,00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146 164,00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2 298 563,00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41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F5010000">
            <w:pPr>
              <w:ind w:firstLine="0" w:left="69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535 509,90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749 664,90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73 984,00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73 984,00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73 984,00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73 984,00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73 984,00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1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1 655 094,80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417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FE010000">
            <w:pPr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Региональный проект «</w:t>
            </w:r>
            <w:r>
              <w:rPr>
                <w:rFonts w:ascii="Times New Roman" w:hAnsi="Times New Roman"/>
                <w:b w:val="1"/>
              </w:rPr>
              <w:t>Жилье</w:t>
            </w:r>
            <w:r>
              <w:rPr>
                <w:rFonts w:ascii="Times New Roman" w:hAnsi="Times New Roman"/>
                <w:b w:val="1"/>
                <w:sz w:val="20"/>
              </w:rPr>
              <w:t>» всего, 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1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504 907,20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630 680,90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1 135 588,10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0702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504 907,20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630 680,90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1 135 588,10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0020000">
            <w:pPr>
              <w:ind w:firstLine="0" w:left="69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504 907,20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630 680,90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1 135 588,10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364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902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 xml:space="preserve">«Обеспечение формирования муниципального жилищного фонда» </w:t>
            </w:r>
            <w: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всего, 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10 602,70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70 984,00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25 984,00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25 984,00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25 984,00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25 984,00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25 984,00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211 506,70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425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2202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10 602,70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70 984,00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211 506,70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2B020000">
            <w:pPr>
              <w:ind w:firstLine="0" w:left="69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10 602,70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70 984,00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25 984,00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211 506,70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34020000">
            <w:pPr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sz w:val="20"/>
              </w:rPr>
              <w:t>Обеспечение жителей доступным и комфортным жильем</w:t>
            </w:r>
            <w:r>
              <w:rPr>
                <w:rFonts w:ascii="Times New Roman" w:hAnsi="Times New Roman"/>
                <w:b w:val="1"/>
                <w:sz w:val="20"/>
              </w:rPr>
              <w:t>» всего, 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188 451,20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188 451,20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3D02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188 451,20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188 451,20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46020000">
            <w:pPr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«Обеспечение документами территориального планирования и градостроительного зонирования муниципальных образований» всего, 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12 500,00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13 180,00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13 180,00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13 180,00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13 180,00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13 180,00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13 180,00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91 580,00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4F02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12 500,00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13 180,00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13 180,00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13 180,00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13 180,00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13 180,00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13 180,00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91 580,00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58020000">
            <w:pPr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 xml:space="preserve">«Разработка документов ценообразования и сметного нормирования строительной отрасли Чукотского автономного округа» </w:t>
            </w:r>
            <w:r>
              <w:rPr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всего, 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9 000,00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9 000,00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9 000,00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9 000,00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9 000,00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63 000,00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6102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9 000,00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9 000,00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9 000,00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9 000,00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9 000,00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63 000,00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6A020000">
            <w:pPr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«Обеспечение жителей индивидуальным жильем» всего, в том числе: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20 000,00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98 437,00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98 000,00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98 000,00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98 000,00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98 000,00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98 000,00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ind w:firstLine="0" w:left="0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608 437,00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73020000">
            <w:pPr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20 000,00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98 437,00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98 000,00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98 000,00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98 000,00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98 000,00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98 000,00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608 437,00</w:t>
            </w:r>
          </w:p>
        </w:tc>
        <w:tc>
          <w:tcPr>
            <w:tcW w:type="dxa" w:w="7"/>
          </w:tcPr>
          <w:p/>
        </w:tc>
      </w:tr>
      <w:tr>
        <w:trPr>
          <w:trHeight w:hRule="atLeast" w:val="298"/>
        </w:trPr>
        <w:tc>
          <w:tcPr>
            <w:tcW w:type="dxa" w:w="4219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7C020000">
            <w:pPr>
              <w:ind w:firstLine="0" w:left="69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20 000,00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48 000,00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48 000,00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48 000,00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48 000,00</w:t>
            </w:r>
          </w:p>
        </w:tc>
        <w:tc>
          <w:tcPr>
            <w:tcW w:type="dxa" w:w="1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48 000,00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48 000,00</w:t>
            </w:r>
          </w:p>
        </w:tc>
        <w:tc>
          <w:tcPr>
            <w:tcW w:type="dxa" w:w="1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20000">
            <w:pPr>
              <w:ind w:firstLine="0" w:left="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308 000,00</w:t>
            </w:r>
          </w:p>
        </w:tc>
        <w:tc>
          <w:tcPr>
            <w:tcW w:type="dxa" w:w="7"/>
          </w:tcPr>
          <w:p/>
        </w:tc>
      </w:tr>
    </w:tbl>
    <w:p w14:paraId="85020000">
      <w:pPr>
        <w:ind/>
        <w:jc w:val="center"/>
      </w:pPr>
      <w:r>
        <w:rPr>
          <w:rFonts w:ascii="Times New Roman" w:hAnsi="Times New Roman"/>
          <w:sz w:val="16"/>
        </w:rPr>
        <w:br/>
      </w:r>
    </w:p>
    <w:p w14:paraId="86020000">
      <w:pPr>
        <w:sectPr>
          <w:pgSz w:h="11906" w:orient="landscape" w:w="16838"/>
          <w:pgMar w:bottom="851" w:footer="709" w:gutter="0" w:header="709" w:left="227" w:right="284" w:top="1701"/>
        </w:sectPr>
      </w:pPr>
    </w:p>
    <w:p w14:paraId="87020000">
      <w:pPr>
        <w:widowControl w:val="1"/>
        <w:ind w:firstLine="0" w:left="0"/>
        <w:jc w:val="center"/>
        <w:rPr>
          <w:rFonts w:ascii="Times New Roman" w:hAnsi="Times New Roman"/>
          <w:b w:val="1"/>
          <w:sz w:val="16"/>
        </w:rPr>
      </w:pPr>
    </w:p>
    <w:sectPr>
      <w:headerReference r:id="rId1" w:type="default"/>
      <w:headerReference r:id="rId2" w:type="even"/>
      <w:pgSz w:h="16838" w:orient="portrait" w:w="11906"/>
      <w:pgMar w:bottom="1134" w:footer="709" w:gutter="0" w:header="709" w:left="1559" w:right="709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t xml:space="preserve">  </w:t>
    </w:r>
  </w:p>
  <w:p w14:paraId="02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Times New Roman CYR" w:hAnsi="Times New Roman CYR"/>
      <w:sz w:val="24"/>
    </w:rPr>
  </w:style>
  <w:style w:default="1" w:styleId="Style_8_ch" w:type="character">
    <w:name w:val="Normal"/>
    <w:link w:val="Style_8"/>
    <w:rPr>
      <w:rFonts w:ascii="Times New Roman CYR" w:hAnsi="Times New Roman CYR"/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Balloon Text"/>
    <w:basedOn w:val="Style_8"/>
    <w:link w:val="Style_11_ch"/>
    <w:rPr>
      <w:rFonts w:ascii="Segoe UI" w:hAnsi="Segoe UI"/>
      <w:sz w:val="18"/>
    </w:rPr>
  </w:style>
  <w:style w:styleId="Style_11_ch" w:type="character">
    <w:name w:val="Balloon Text"/>
    <w:basedOn w:val="Style_8_ch"/>
    <w:link w:val="Style_11"/>
    <w:rPr>
      <w:rFonts w:ascii="Segoe UI" w:hAnsi="Segoe UI"/>
      <w:sz w:val="18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toc 3"/>
    <w:next w:val="Style_8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8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2" w:type="paragraph">
    <w:name w:val="page number"/>
    <w:basedOn w:val="Style_18"/>
    <w:link w:val="Style_2_ch"/>
  </w:style>
  <w:style w:styleId="Style_2_ch" w:type="character">
    <w:name w:val="page number"/>
    <w:basedOn w:val="Style_18_ch"/>
    <w:link w:val="Style_2"/>
  </w:style>
  <w:style w:styleId="Style_19" w:type="paragraph">
    <w:name w:val="heading 1"/>
    <w:next w:val="Style_8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6" w:type="paragraph">
    <w:name w:val="Hyperlink"/>
    <w:basedOn w:val="Style_18"/>
    <w:link w:val="Style_6_ch"/>
    <w:rPr>
      <w:color w:themeColor="hyperlink" w:val="0563C1"/>
      <w:u w:val="single"/>
    </w:rPr>
  </w:style>
  <w:style w:styleId="Style_6_ch" w:type="character">
    <w:name w:val="Hyperlink"/>
    <w:basedOn w:val="Style_18_ch"/>
    <w:link w:val="Style_6"/>
    <w:rPr>
      <w:color w:themeColor="hyperlink" w:val="0563C1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8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8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24" w:type="paragraph">
    <w:name w:val="toc 8"/>
    <w:next w:val="Style_8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7" w:type="paragraph">
    <w:name w:val="ConsPlusNormal"/>
    <w:link w:val="Style_7_ch"/>
    <w:pPr>
      <w:widowControl w:val="0"/>
      <w:spacing w:after="0" w:line="240" w:lineRule="auto"/>
      <w:ind/>
    </w:pPr>
    <w:rPr>
      <w:rFonts w:ascii="Calibri" w:hAnsi="Calibri"/>
    </w:rPr>
  </w:style>
  <w:style w:styleId="Style_7_ch" w:type="character">
    <w:name w:val="ConsPlusNormal"/>
    <w:link w:val="Style_7"/>
    <w:rPr>
      <w:rFonts w:ascii="Calibri" w:hAnsi="Calibri"/>
    </w:rPr>
  </w:style>
  <w:style w:styleId="Style_25" w:type="paragraph">
    <w:name w:val="toc 5"/>
    <w:next w:val="Style_8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8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8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8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5" w:type="paragraph">
    <w:name w:val="List Paragraph"/>
    <w:basedOn w:val="Style_8"/>
    <w:link w:val="Style_5_ch"/>
    <w:pPr>
      <w:ind w:firstLine="0" w:left="720"/>
      <w:contextualSpacing w:val="1"/>
    </w:pPr>
  </w:style>
  <w:style w:styleId="Style_5_ch" w:type="character">
    <w:name w:val="List Paragraph"/>
    <w:basedOn w:val="Style_8_ch"/>
    <w:link w:val="Style_5"/>
  </w:style>
  <w:style w:styleId="Style_29" w:type="paragraph">
    <w:name w:val="heading 2"/>
    <w:next w:val="Style_8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2025-03-05T06:34:40Z</dcterms:modified>
</cp:coreProperties>
</file>