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79" w:rsidRPr="00FD5179" w:rsidRDefault="00FD5179" w:rsidP="00FD5179">
      <w:pPr>
        <w:pStyle w:val="1"/>
        <w:jc w:val="center"/>
        <w:rPr>
          <w:sz w:val="28"/>
          <w:szCs w:val="28"/>
          <w:lang w:val="ru-RU"/>
        </w:rPr>
      </w:pPr>
      <w:r w:rsidRPr="00FD5179">
        <w:rPr>
          <w:sz w:val="28"/>
          <w:szCs w:val="28"/>
          <w:lang w:val="ru-RU"/>
        </w:rPr>
        <w:t>Принято на первом заседании Двусторонней комиссии, Москва, 25 сентября 2009 г.</w:t>
      </w:r>
    </w:p>
    <w:p w:rsidR="00FD5179" w:rsidRPr="00FD5179" w:rsidRDefault="00FD5179" w:rsidP="00FD5179">
      <w:pPr>
        <w:pStyle w:val="1"/>
        <w:jc w:val="center"/>
        <w:rPr>
          <w:sz w:val="28"/>
          <w:szCs w:val="28"/>
          <w:lang w:val="ru-RU"/>
        </w:rPr>
      </w:pPr>
      <w:r w:rsidRPr="00FD5179">
        <w:rPr>
          <w:sz w:val="28"/>
          <w:szCs w:val="28"/>
          <w:lang w:val="ru-RU"/>
        </w:rPr>
        <w:t>Структура научной рабочей группы</w:t>
      </w:r>
    </w:p>
    <w:p w:rsidR="0010414B" w:rsidRDefault="00FD5179" w:rsidP="00FD5179">
      <w:pPr>
        <w:pStyle w:val="1"/>
        <w:jc w:val="center"/>
        <w:rPr>
          <w:sz w:val="28"/>
          <w:szCs w:val="28"/>
          <w:lang w:val="ru-RU"/>
        </w:rPr>
      </w:pPr>
      <w:r w:rsidRPr="00FD5179">
        <w:rPr>
          <w:sz w:val="28"/>
          <w:szCs w:val="28"/>
          <w:lang w:val="ru-RU"/>
        </w:rPr>
        <w:t>под эгидой российско</w:t>
      </w:r>
      <w:r w:rsidRPr="00FD5179">
        <w:rPr>
          <w:sz w:val="28"/>
          <w:szCs w:val="28"/>
          <w:lang w:val="ru-RU"/>
        </w:rPr>
        <w:t>-</w:t>
      </w:r>
      <w:r w:rsidRPr="00FD5179">
        <w:rPr>
          <w:sz w:val="28"/>
          <w:szCs w:val="28"/>
          <w:lang w:val="ru-RU"/>
        </w:rPr>
        <w:t>американской</w:t>
      </w:r>
      <w:r w:rsidRPr="00FD5179">
        <w:rPr>
          <w:sz w:val="28"/>
          <w:szCs w:val="28"/>
          <w:lang w:val="ru-RU"/>
        </w:rPr>
        <w:t xml:space="preserve"> комиссии </w:t>
      </w:r>
    </w:p>
    <w:p w:rsidR="00FD5179" w:rsidRPr="00FD5179" w:rsidRDefault="00FD5179" w:rsidP="00FD5179">
      <w:pPr>
        <w:pStyle w:val="1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FD5179">
        <w:rPr>
          <w:sz w:val="28"/>
          <w:szCs w:val="28"/>
          <w:lang w:val="ru-RU"/>
        </w:rPr>
        <w:t>по белому медведю</w:t>
      </w:r>
    </w:p>
    <w:p w:rsidR="00FD5179" w:rsidRPr="00FD5179" w:rsidRDefault="00FD5179" w:rsidP="00FD5179">
      <w:pPr>
        <w:pStyle w:val="1"/>
        <w:jc w:val="center"/>
        <w:rPr>
          <w:lang w:val="ru-RU"/>
        </w:rPr>
      </w:pPr>
    </w:p>
    <w:p w:rsid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Научная рабочая группа при Российско-американской комиссии по белому медведю (далее именуемая «Группа») создана в соответствии с пунктом 8 статьи 8 С</w:t>
      </w:r>
      <w:r>
        <w:rPr>
          <w:lang w:val="ru-RU"/>
        </w:rPr>
        <w:t>оглашения между правительствами</w:t>
      </w:r>
      <w:r w:rsidRPr="00FD5179">
        <w:rPr>
          <w:lang w:val="ru-RU"/>
        </w:rPr>
        <w:t xml:space="preserve"> Российской Федерации</w:t>
      </w:r>
      <w:r>
        <w:rPr>
          <w:lang w:val="ru-RU"/>
        </w:rPr>
        <w:t xml:space="preserve"> и</w:t>
      </w:r>
      <w:r w:rsidRPr="00FD5179">
        <w:rPr>
          <w:lang w:val="ru-RU"/>
        </w:rPr>
        <w:t xml:space="preserve"> США</w:t>
      </w:r>
      <w:r>
        <w:rPr>
          <w:lang w:val="ru-RU"/>
        </w:rPr>
        <w:t xml:space="preserve"> о сохранении и управлении</w:t>
      </w:r>
      <w:r w:rsidRPr="00FD5179">
        <w:rPr>
          <w:lang w:val="ru-RU"/>
        </w:rPr>
        <w:t xml:space="preserve"> </w:t>
      </w:r>
      <w:r>
        <w:rPr>
          <w:lang w:val="ru-RU"/>
        </w:rPr>
        <w:t xml:space="preserve">чукотско-аляскинской </w:t>
      </w:r>
      <w:r w:rsidRPr="00FD5179">
        <w:rPr>
          <w:lang w:val="ru-RU"/>
        </w:rPr>
        <w:t>популяции белого медведя (далее - «Соглашение»).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</w:p>
    <w:p w:rsidR="00FD5179" w:rsidRDefault="00FD5179" w:rsidP="00FD5179">
      <w:pPr>
        <w:pStyle w:val="1"/>
        <w:numPr>
          <w:ilvl w:val="0"/>
          <w:numId w:val="5"/>
        </w:numPr>
        <w:jc w:val="both"/>
        <w:rPr>
          <w:lang w:val="ru-RU"/>
        </w:rPr>
      </w:pPr>
      <w:proofErr w:type="spellStart"/>
      <w:r>
        <w:t>Цель</w:t>
      </w:r>
      <w:proofErr w:type="spellEnd"/>
      <w:r>
        <w:t xml:space="preserve"> </w:t>
      </w:r>
      <w:proofErr w:type="spellStart"/>
      <w:r>
        <w:t>группы</w:t>
      </w:r>
      <w:proofErr w:type="spellEnd"/>
    </w:p>
    <w:p w:rsid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Группа оказывает содействие Российско-американской комиссии по белому медведю (далее именуемой «Комиссия») в решении вопросов, касающихся защиты чукотско-аляскинской популяции белого медведя и управления ею.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</w:p>
    <w:p w:rsidR="00FD5179" w:rsidRDefault="00FD5179" w:rsidP="00FD5179">
      <w:pPr>
        <w:pStyle w:val="1"/>
        <w:numPr>
          <w:ilvl w:val="0"/>
          <w:numId w:val="5"/>
        </w:numPr>
        <w:jc w:val="both"/>
        <w:rPr>
          <w:lang w:val="ru-RU"/>
        </w:rPr>
      </w:pPr>
      <w:r w:rsidRPr="00FD5179">
        <w:rPr>
          <w:lang w:val="ru-RU"/>
        </w:rPr>
        <w:t>Обязанности Группы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Комиссия поручает Группе предоставлять экспертные рекомендации в следующих областях работы Комиссии: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1. Определение годового устойчивого уровня добычи белых медведей на основе надежных научных данных, включая традиционные знания коренных народов.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2. Определение годовых лимитов добычи, не превышающих устойчивых уровней.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3. Определение мер по ограничению добычи белых медведей с целью сохранения популяции и поддержки традиционного образа жизни коренных народов в пределах ежегодно устанавливаемых лимитов вылова, которые должны включать периоды, открытые для охоты, ограничения по возрасту, полу и другие параметры, помимо пункта 1 статьи 6 Соглашения.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4. Определение границ</w:t>
      </w:r>
      <w:r>
        <w:rPr>
          <w:lang w:val="ru-RU"/>
        </w:rPr>
        <w:t xml:space="preserve"> чукотско-аляскинской популяции</w:t>
      </w:r>
      <w:r w:rsidRPr="00FD5179">
        <w:rPr>
          <w:lang w:val="ru-RU"/>
        </w:rPr>
        <w:t>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5. Определение критических местообитаний белого медведя и разработка рекомендаций по их сохранению.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6. Рассмотрение научно-исследовательских программ, в том числе совместных, по изучению, сохранению и мониторингу белых медведей, а также подготовка рекомендаций по их реализации и определение критериев отчетности и проверки взятых белых медведей.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7. Разработка рекомендаций по содержанию в неволе осиротевших и реабилитированных белых медведей.</w:t>
      </w:r>
    </w:p>
    <w:p w:rsid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8. Сбор и изучение информации и научных данных о белых медведях, включая информацию о добытых медведях и случаях возникновения угроз для жизни человека.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</w:p>
    <w:p w:rsidR="00FD5179" w:rsidRPr="00FD5179" w:rsidRDefault="00FD5179" w:rsidP="00FD5179">
      <w:pPr>
        <w:pStyle w:val="1"/>
        <w:ind w:firstLine="284"/>
        <w:jc w:val="both"/>
        <w:rPr>
          <w:lang w:val="ru-RU"/>
        </w:rPr>
      </w:pPr>
      <w:r>
        <w:lastRenderedPageBreak/>
        <w:t>III</w:t>
      </w:r>
      <w:r w:rsidRPr="00FD5179">
        <w:rPr>
          <w:lang w:val="ru-RU"/>
        </w:rPr>
        <w:t>. Состав группы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 xml:space="preserve">1. Группа должна состоять из равного количества участников из </w:t>
      </w:r>
      <w:r>
        <w:rPr>
          <w:lang w:val="ru-RU"/>
        </w:rPr>
        <w:t>России и США</w:t>
      </w:r>
      <w:r w:rsidRPr="00FD5179">
        <w:rPr>
          <w:lang w:val="ru-RU"/>
        </w:rPr>
        <w:t>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2. Каждая сторона предлагает членство в своей секции Группы. Конкретный состав Группы или любые изменения в нем должны быть подтверждены Комиссией либо на одном из ее регулярных заседаний, либо по переписке.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3. Комиссия выбрала сопредседателей, которые несут ответственность за организацию работы групп. Кроме того, группа будет выбирать члена из принимающей страны в качестве секретаря на ротационной основе. В обязанности председателя и секретаря входит организация работы Группы.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4. Группа может при необходимости привлекать других экспертов для обсуждения конкретных тем.</w:t>
      </w:r>
    </w:p>
    <w:p w:rsidR="00FD5179" w:rsidRPr="00FD5179" w:rsidRDefault="00FD5179" w:rsidP="00FD5179">
      <w:pPr>
        <w:pStyle w:val="1"/>
        <w:ind w:firstLine="284"/>
        <w:jc w:val="both"/>
        <w:rPr>
          <w:lang w:val="ru-RU"/>
        </w:rPr>
      </w:pPr>
      <w:r>
        <w:t>IV</w:t>
      </w:r>
      <w:r w:rsidRPr="00FD5179">
        <w:rPr>
          <w:lang w:val="ru-RU"/>
        </w:rPr>
        <w:t>. Организация работы группы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1. Сопредседатели Группы получают задания от Комиссии и выполняют эти поручения эффективно и своевременно.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2. Сопредседатели Группы информируют Комиссию о результатах выполненных заданий отчетными или аналитическими материалами и документами.</w:t>
      </w:r>
    </w:p>
    <w:p w:rsidR="00FD5179" w:rsidRPr="00FD5179" w:rsidRDefault="00FD5179" w:rsidP="00FD5179">
      <w:pPr>
        <w:pStyle w:val="1"/>
        <w:jc w:val="both"/>
        <w:rPr>
          <w:lang w:val="ru-RU"/>
        </w:rPr>
      </w:pPr>
      <w:r w:rsidRPr="00FD5179">
        <w:rPr>
          <w:lang w:val="ru-RU"/>
        </w:rPr>
        <w:t>3. Группа проводит рабочие встречи не реже одного раза в год.</w:t>
      </w:r>
    </w:p>
    <w:p w:rsidR="00FD5179" w:rsidRPr="00FD5179" w:rsidRDefault="00FD5179" w:rsidP="00FD5179">
      <w:pPr>
        <w:pStyle w:val="1"/>
        <w:shd w:val="clear" w:color="auto" w:fill="auto"/>
        <w:spacing w:line="240" w:lineRule="auto"/>
        <w:jc w:val="both"/>
        <w:rPr>
          <w:lang w:val="ru-RU"/>
        </w:rPr>
      </w:pPr>
      <w:r w:rsidRPr="00FD5179">
        <w:rPr>
          <w:lang w:val="ru-RU"/>
        </w:rPr>
        <w:t>4. Финансирование работы американского и российского отделений Группы обеспечивается соответственно</w:t>
      </w:r>
      <w:r>
        <w:rPr>
          <w:lang w:val="ru-RU"/>
        </w:rPr>
        <w:t xml:space="preserve"> российской и</w:t>
      </w:r>
      <w:r w:rsidRPr="00FD5179">
        <w:rPr>
          <w:lang w:val="ru-RU"/>
        </w:rPr>
        <w:t xml:space="preserve"> американской сторонами.</w:t>
      </w:r>
    </w:p>
    <w:p w:rsidR="00FD5179" w:rsidRDefault="00FD5179">
      <w:pPr>
        <w:pStyle w:val="1"/>
        <w:shd w:val="clear" w:color="auto" w:fill="auto"/>
        <w:spacing w:after="740" w:line="240" w:lineRule="auto"/>
        <w:jc w:val="center"/>
        <w:rPr>
          <w:lang w:val="ru-RU"/>
        </w:rPr>
      </w:pPr>
      <w:r w:rsidRPr="00FD5179">
        <w:rPr>
          <w:lang w:val="ru-RU"/>
        </w:rPr>
        <w:t>Принято на первом заседании Двусторонней комиссии, Москва, 25 сентября 2009 г.</w:t>
      </w:r>
    </w:p>
    <w:p w:rsidR="001D59DE" w:rsidRDefault="0010414B">
      <w:pPr>
        <w:pStyle w:val="11"/>
        <w:keepNext/>
        <w:keepLines/>
        <w:shd w:val="clear" w:color="auto" w:fill="auto"/>
        <w:spacing w:after="240"/>
      </w:pPr>
      <w:bookmarkStart w:id="1" w:name="bookmark0"/>
      <w:bookmarkStart w:id="2" w:name="bookmark1"/>
      <w:r>
        <w:t>The Structure of the Scientific Working Group</w:t>
      </w:r>
      <w:bookmarkEnd w:id="1"/>
      <w:bookmarkEnd w:id="2"/>
    </w:p>
    <w:p w:rsidR="001D59DE" w:rsidRDefault="0010414B">
      <w:pPr>
        <w:pStyle w:val="11"/>
        <w:keepNext/>
        <w:keepLines/>
        <w:shd w:val="clear" w:color="auto" w:fill="auto"/>
        <w:spacing w:after="740"/>
      </w:pPr>
      <w:bookmarkStart w:id="3" w:name="bookmark2"/>
      <w:bookmarkStart w:id="4" w:name="bookmark3"/>
      <w:proofErr w:type="gramStart"/>
      <w:r>
        <w:t>under</w:t>
      </w:r>
      <w:proofErr w:type="gramEnd"/>
      <w:r>
        <w:t xml:space="preserve"> the U.S.-Russia Polar Bear Commission</w:t>
      </w:r>
      <w:bookmarkEnd w:id="3"/>
      <w:bookmarkEnd w:id="4"/>
    </w:p>
    <w:p w:rsidR="001D59DE" w:rsidRDefault="0010414B">
      <w:pPr>
        <w:pStyle w:val="1"/>
        <w:shd w:val="clear" w:color="auto" w:fill="auto"/>
        <w:spacing w:after="680"/>
      </w:pPr>
      <w:r>
        <w:t xml:space="preserve">The Scientific Working Group under the U.S.-Russia Polar Bear Commission </w:t>
      </w:r>
      <w:r>
        <w:t>(hereinafter referred to as the "Group ") is established in accordance with Paragraph 8 of Article 8 of the Agreement between the Governments of the United States and Russian Federation on the Conservation and Management of the Alaska-Chukotka Polar Bear P</w:t>
      </w:r>
      <w:r>
        <w:t>opulation (hereinafter referred to as the "Agreement").</w:t>
      </w:r>
    </w:p>
    <w:p w:rsidR="001D59DE" w:rsidRDefault="0010414B">
      <w:pPr>
        <w:pStyle w:val="1"/>
        <w:numPr>
          <w:ilvl w:val="0"/>
          <w:numId w:val="1"/>
        </w:numPr>
        <w:shd w:val="clear" w:color="auto" w:fill="auto"/>
        <w:tabs>
          <w:tab w:val="left" w:pos="789"/>
        </w:tabs>
        <w:spacing w:after="180" w:line="290" w:lineRule="auto"/>
        <w:ind w:firstLine="380"/>
      </w:pPr>
      <w:r>
        <w:t>Purpose of the Group</w:t>
      </w:r>
    </w:p>
    <w:p w:rsidR="001D59DE" w:rsidRDefault="0010414B">
      <w:pPr>
        <w:pStyle w:val="1"/>
        <w:shd w:val="clear" w:color="auto" w:fill="auto"/>
        <w:spacing w:after="680" w:line="290" w:lineRule="auto"/>
      </w:pPr>
      <w:r>
        <w:t>The Group shall assist the U.S.-Russia Polar Bear Commission (hereinafter referred to as the "Commission") in resolving questions pertaining to the protection and management of th</w:t>
      </w:r>
      <w:r>
        <w:t>e Alaska-Chukotka polar bear population.</w:t>
      </w:r>
    </w:p>
    <w:p w:rsidR="001D59DE" w:rsidRDefault="0010414B">
      <w:pPr>
        <w:pStyle w:val="1"/>
        <w:numPr>
          <w:ilvl w:val="0"/>
          <w:numId w:val="1"/>
        </w:numPr>
        <w:shd w:val="clear" w:color="auto" w:fill="auto"/>
        <w:tabs>
          <w:tab w:val="left" w:pos="789"/>
        </w:tabs>
        <w:spacing w:after="180" w:line="300" w:lineRule="auto"/>
        <w:ind w:firstLine="380"/>
      </w:pPr>
      <w:r>
        <w:lastRenderedPageBreak/>
        <w:t>Responsibilities of the Group</w:t>
      </w:r>
    </w:p>
    <w:p w:rsidR="001D59DE" w:rsidRDefault="0010414B">
      <w:pPr>
        <w:pStyle w:val="1"/>
        <w:shd w:val="clear" w:color="auto" w:fill="auto"/>
        <w:spacing w:after="180" w:line="300" w:lineRule="auto"/>
      </w:pPr>
      <w:r>
        <w:t>The Group is charged by the Commission with providing expert guidance in the following areas of the Commission's work:</w:t>
      </w:r>
    </w:p>
    <w:p w:rsidR="001D59DE" w:rsidRDefault="0010414B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ind w:left="760" w:hanging="360"/>
      </w:pPr>
      <w:r>
        <w:t>Determination of an annual sustainable harvest level for polar bea</w:t>
      </w:r>
      <w:r>
        <w:t>rs based on reliable scientific data, including traditional knowledge of native peoples.</w:t>
      </w:r>
    </w:p>
    <w:p w:rsidR="001D59DE" w:rsidRDefault="0010414B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ind w:firstLine="380"/>
      </w:pPr>
      <w:r>
        <w:t>Determination of annual take limits not to exceed sustainable levels.</w:t>
      </w:r>
    </w:p>
    <w:p w:rsidR="001D59DE" w:rsidRDefault="0010414B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ind w:left="760" w:hanging="360"/>
      </w:pPr>
      <w:r>
        <w:t xml:space="preserve">Identification of measures to restrict taking of polar bears with the goal of conserving the </w:t>
      </w:r>
      <w:r>
        <w:t xml:space="preserve">population and supporting the traditional way of life of native peoples within the annually-established harvest limits, which shall include periods open for hunting, restrictions as to age, sex and other parameters, in addition to Paragraph 1 of Article 6 </w:t>
      </w:r>
      <w:r>
        <w:t>of the Agreement.</w:t>
      </w:r>
    </w:p>
    <w:p w:rsidR="001D59DE" w:rsidRDefault="0010414B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ind w:firstLine="380"/>
      </w:pPr>
      <w:r>
        <w:t>Determination of the boundaries of the Chukotka-Alaska population.</w:t>
      </w:r>
    </w:p>
    <w:p w:rsidR="001D59DE" w:rsidRDefault="0010414B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ind w:left="760" w:hanging="360"/>
      </w:pPr>
      <w:r>
        <w:t>Determination of critical polar bear habitat areas and development of recommendations to conserve them.</w:t>
      </w:r>
    </w:p>
    <w:p w:rsidR="001D59DE" w:rsidRDefault="0010414B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ind w:left="760" w:hanging="360"/>
      </w:pPr>
      <w:r>
        <w:t>Consideration of scientific-research programs, including joint ones</w:t>
      </w:r>
      <w:r>
        <w:t>, for the study, conservation and monitoring of polar bears, as well as preparation of recommendations for their implementation and determination of criteria for reporting and verifying polar bears taken.</w:t>
      </w:r>
    </w:p>
    <w:p w:rsidR="001D59DE" w:rsidRDefault="0010414B">
      <w:pPr>
        <w:pStyle w:val="1"/>
        <w:numPr>
          <w:ilvl w:val="0"/>
          <w:numId w:val="2"/>
        </w:numPr>
        <w:shd w:val="clear" w:color="auto" w:fill="auto"/>
        <w:tabs>
          <w:tab w:val="left" w:pos="794"/>
        </w:tabs>
        <w:spacing w:line="290" w:lineRule="auto"/>
        <w:ind w:left="760" w:hanging="340"/>
      </w:pPr>
      <w:r>
        <w:t>Developing recommendations on captive maintenance o</w:t>
      </w:r>
      <w:r>
        <w:t>f orphaned and rehabilitated polar bears.</w:t>
      </w:r>
    </w:p>
    <w:p w:rsidR="001D59DE" w:rsidRDefault="0010414B">
      <w:pPr>
        <w:pStyle w:val="1"/>
        <w:numPr>
          <w:ilvl w:val="0"/>
          <w:numId w:val="2"/>
        </w:numPr>
        <w:shd w:val="clear" w:color="auto" w:fill="auto"/>
        <w:tabs>
          <w:tab w:val="left" w:pos="794"/>
        </w:tabs>
        <w:spacing w:after="700" w:line="288" w:lineRule="auto"/>
        <w:ind w:left="760" w:hanging="340"/>
      </w:pPr>
      <w:r>
        <w:t>Collection and study of information and scientific data on polar bears, including information about harvested bears and cases where threats to human life have arisen.</w:t>
      </w:r>
    </w:p>
    <w:p w:rsidR="001D59DE" w:rsidRDefault="0010414B">
      <w:pPr>
        <w:pStyle w:val="1"/>
        <w:numPr>
          <w:ilvl w:val="0"/>
          <w:numId w:val="1"/>
        </w:numPr>
        <w:shd w:val="clear" w:color="auto" w:fill="auto"/>
        <w:tabs>
          <w:tab w:val="left" w:pos="794"/>
        </w:tabs>
        <w:spacing w:after="300"/>
        <w:ind w:firstLine="400"/>
      </w:pPr>
      <w:r>
        <w:t>Composition of the Group</w:t>
      </w:r>
    </w:p>
    <w:p w:rsidR="001D59DE" w:rsidRDefault="0010414B">
      <w:pPr>
        <w:pStyle w:val="1"/>
        <w:numPr>
          <w:ilvl w:val="0"/>
          <w:numId w:val="3"/>
        </w:numPr>
        <w:shd w:val="clear" w:color="auto" w:fill="auto"/>
        <w:tabs>
          <w:tab w:val="left" w:pos="794"/>
        </w:tabs>
        <w:ind w:left="760" w:hanging="340"/>
      </w:pPr>
      <w:r>
        <w:t>The Group shall consis</w:t>
      </w:r>
      <w:r>
        <w:t>t of an equal number of members from the U.S. and Russia.</w:t>
      </w:r>
    </w:p>
    <w:p w:rsidR="001D59DE" w:rsidRDefault="0010414B">
      <w:pPr>
        <w:pStyle w:val="1"/>
        <w:numPr>
          <w:ilvl w:val="0"/>
          <w:numId w:val="3"/>
        </w:numPr>
        <w:shd w:val="clear" w:color="auto" w:fill="auto"/>
        <w:tabs>
          <w:tab w:val="left" w:pos="794"/>
        </w:tabs>
        <w:ind w:left="760" w:hanging="340"/>
      </w:pPr>
      <w:r>
        <w:t xml:space="preserve">Each side shall propose the membership of its section of the Group. The specific composition of the </w:t>
      </w:r>
      <w:proofErr w:type="gramStart"/>
      <w:r>
        <w:t>Group,</w:t>
      </w:r>
      <w:proofErr w:type="gramEnd"/>
      <w:r>
        <w:t xml:space="preserve"> or any changes thereto, shall be confirmed by the Commission either at one of its regular m</w:t>
      </w:r>
      <w:r>
        <w:t>eetings, or by correspondence.</w:t>
      </w:r>
    </w:p>
    <w:p w:rsidR="001D59DE" w:rsidRDefault="0010414B">
      <w:pPr>
        <w:pStyle w:val="1"/>
        <w:numPr>
          <w:ilvl w:val="0"/>
          <w:numId w:val="3"/>
        </w:numPr>
        <w:shd w:val="clear" w:color="auto" w:fill="auto"/>
        <w:tabs>
          <w:tab w:val="left" w:pos="794"/>
        </w:tabs>
        <w:ind w:left="760" w:hanging="340"/>
      </w:pPr>
      <w:r>
        <w:t>The Commission has selected co-Chairpersons who shall be responsible for organizing the groups work. In addition the group will select a member from the host country to serve as Secretary on a rotating basis. The duties of th</w:t>
      </w:r>
      <w:r>
        <w:t>e Chairperson and the Secretary shall include organizing the Group's work.</w:t>
      </w:r>
    </w:p>
    <w:p w:rsidR="001D59DE" w:rsidRDefault="0010414B">
      <w:pPr>
        <w:pStyle w:val="1"/>
        <w:numPr>
          <w:ilvl w:val="0"/>
          <w:numId w:val="3"/>
        </w:numPr>
        <w:shd w:val="clear" w:color="auto" w:fill="auto"/>
        <w:tabs>
          <w:tab w:val="left" w:pos="794"/>
        </w:tabs>
        <w:spacing w:after="580"/>
        <w:ind w:firstLine="400"/>
      </w:pPr>
      <w:r>
        <w:t>The group may call upon other experts as needed to address specific topics.</w:t>
      </w:r>
    </w:p>
    <w:p w:rsidR="001D59DE" w:rsidRDefault="0010414B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after="300"/>
        <w:ind w:firstLine="400"/>
      </w:pPr>
      <w:r>
        <w:t>Organization of the Group's Work</w:t>
      </w:r>
    </w:p>
    <w:p w:rsidR="001D59DE" w:rsidRDefault="0010414B">
      <w:pPr>
        <w:pStyle w:val="1"/>
        <w:numPr>
          <w:ilvl w:val="0"/>
          <w:numId w:val="4"/>
        </w:numPr>
        <w:shd w:val="clear" w:color="auto" w:fill="auto"/>
        <w:tabs>
          <w:tab w:val="left" w:pos="794"/>
        </w:tabs>
        <w:ind w:left="760" w:hanging="340"/>
      </w:pPr>
      <w:r>
        <w:lastRenderedPageBreak/>
        <w:t xml:space="preserve">The Group’s Co-Chairpersons shall receive assignments from the </w:t>
      </w:r>
      <w:r>
        <w:t>Commission, and shall carry out those assignments in an efficient and timely manner.</w:t>
      </w:r>
    </w:p>
    <w:p w:rsidR="001D59DE" w:rsidRDefault="0010414B">
      <w:pPr>
        <w:pStyle w:val="1"/>
        <w:numPr>
          <w:ilvl w:val="0"/>
          <w:numId w:val="4"/>
        </w:numPr>
        <w:shd w:val="clear" w:color="auto" w:fill="auto"/>
        <w:tabs>
          <w:tab w:val="left" w:pos="794"/>
        </w:tabs>
        <w:ind w:left="760" w:hanging="340"/>
      </w:pPr>
      <w:r>
        <w:t>The Group's Co-Chairpersons shall inform the Commission of the results of assignments carried out, by report, or analytical materials and documents.</w:t>
      </w:r>
    </w:p>
    <w:p w:rsidR="001D59DE" w:rsidRDefault="0010414B">
      <w:pPr>
        <w:pStyle w:val="1"/>
        <w:numPr>
          <w:ilvl w:val="0"/>
          <w:numId w:val="4"/>
        </w:numPr>
        <w:shd w:val="clear" w:color="auto" w:fill="auto"/>
        <w:tabs>
          <w:tab w:val="left" w:pos="794"/>
        </w:tabs>
        <w:ind w:firstLine="400"/>
      </w:pPr>
      <w:r>
        <w:t>The Group shall conduc</w:t>
      </w:r>
      <w:r>
        <w:t>t a working meeting at least once a year.</w:t>
      </w:r>
    </w:p>
    <w:p w:rsidR="001D59DE" w:rsidRDefault="0010414B">
      <w:pPr>
        <w:pStyle w:val="1"/>
        <w:numPr>
          <w:ilvl w:val="0"/>
          <w:numId w:val="4"/>
        </w:numPr>
        <w:shd w:val="clear" w:color="auto" w:fill="auto"/>
        <w:tabs>
          <w:tab w:val="left" w:pos="794"/>
        </w:tabs>
        <w:spacing w:after="140"/>
        <w:ind w:left="760" w:hanging="340"/>
      </w:pPr>
      <w:r>
        <w:t>Funding for the work of the U.S. and Russian sections of the Group shall be provided by the U.S. and Russian sides, respectively.</w:t>
      </w:r>
    </w:p>
    <w:sectPr w:rsidR="001D59DE">
      <w:pgSz w:w="11900" w:h="16840"/>
      <w:pgMar w:top="2073" w:right="1336" w:bottom="2419" w:left="1315" w:header="1645" w:footer="19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414B">
      <w:r>
        <w:separator/>
      </w:r>
    </w:p>
  </w:endnote>
  <w:endnote w:type="continuationSeparator" w:id="0">
    <w:p w:rsidR="00000000" w:rsidRDefault="0010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DE" w:rsidRDefault="001D59DE"/>
  </w:footnote>
  <w:footnote w:type="continuationSeparator" w:id="0">
    <w:p w:rsidR="001D59DE" w:rsidRDefault="001D59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9EA"/>
    <w:multiLevelType w:val="multilevel"/>
    <w:tmpl w:val="D082894A"/>
    <w:lvl w:ilvl="0">
      <w:start w:val="1"/>
      <w:numFmt w:val="upperRoman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60A59"/>
    <w:multiLevelType w:val="multilevel"/>
    <w:tmpl w:val="5BE8707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4280A"/>
    <w:multiLevelType w:val="multilevel"/>
    <w:tmpl w:val="8CC83E5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6344A0"/>
    <w:multiLevelType w:val="hybridMultilevel"/>
    <w:tmpl w:val="CFB25B1C"/>
    <w:lvl w:ilvl="0" w:tplc="06C86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96AE8"/>
    <w:multiLevelType w:val="multilevel"/>
    <w:tmpl w:val="0616E0C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D59DE"/>
    <w:rsid w:val="0010414B"/>
    <w:rsid w:val="001D59DE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5" w:lineRule="auto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90"/>
      <w:jc w:val="center"/>
      <w:outlineLvl w:val="0"/>
    </w:pPr>
    <w:rPr>
      <w:rFonts w:ascii="Century Gothic" w:eastAsia="Century Gothic" w:hAnsi="Century Gothic" w:cs="Century Gothic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5" w:lineRule="auto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90"/>
      <w:jc w:val="center"/>
      <w:outlineLvl w:val="0"/>
    </w:pPr>
    <w:rPr>
      <w:rFonts w:ascii="Century Gothic" w:eastAsia="Century Gothic" w:hAnsi="Century Gothic" w:cs="Century Gothi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Верещагин Егор Васильевич</cp:lastModifiedBy>
  <cp:revision>2</cp:revision>
  <dcterms:created xsi:type="dcterms:W3CDTF">2021-06-21T00:03:00Z</dcterms:created>
  <dcterms:modified xsi:type="dcterms:W3CDTF">2021-06-21T00:26:00Z</dcterms:modified>
</cp:coreProperties>
</file>