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DBF92">
      <w:pPr>
        <w:widowControl w:val="0"/>
        <w:shd w:val="clear" w:color="auto" w:fill="FFFFFF"/>
        <w:jc w:val="center"/>
        <w:textAlignment w:val="baseline"/>
        <w:outlineLvl w:val="0"/>
        <w:rPr>
          <w:b/>
          <w:bCs/>
          <w:kern w:val="36"/>
          <w:sz w:val="30"/>
          <w:szCs w:val="30"/>
        </w:rPr>
      </w:pPr>
      <w:r>
        <w:rPr>
          <w:b/>
          <w:bCs/>
          <w:kern w:val="36"/>
          <w:sz w:val="30"/>
          <w:szCs w:val="30"/>
        </w:rPr>
        <w:t>УВЕДОМЛЕНИЕ</w:t>
      </w:r>
    </w:p>
    <w:p w14:paraId="62F45C2F">
      <w:pPr>
        <w:jc w:val="both"/>
      </w:pPr>
      <w:bookmarkStart w:id="0" w:name="_GoBack"/>
      <w:r>
        <w:t xml:space="preserve">Департамент природных ресурсов и экологии Чукотского автономного округа уведомляет </w:t>
      </w:r>
    </w:p>
    <w:p w14:paraId="0856E409">
      <w:pPr>
        <w:jc w:val="both"/>
      </w:pPr>
      <w:r>
        <w:t xml:space="preserve">о проведении общественных обсуждений по объекту государственной экологической экспертизы – документации </w:t>
      </w:r>
      <w:r>
        <w:rPr>
          <w:rFonts w:eastAsia="Arial"/>
        </w:rPr>
        <w:t>«</w:t>
      </w:r>
      <w:r>
        <w:rPr>
          <w:rFonts w:eastAsia="Courier New"/>
        </w:rPr>
        <w:t>Геофизические работы в Анадырском бассейне Берингова моря с целью уточнения геологического строения и перспектив нефтегазоносности</w:t>
      </w:r>
      <w:r>
        <w:rPr>
          <w:rFonts w:eastAsia="Arial"/>
        </w:rPr>
        <w:t>», включая материалы оценки воздействия на окружающую среду.</w:t>
      </w:r>
    </w:p>
    <w:bookmarkEnd w:id="0"/>
    <w:p w14:paraId="42B21BA3">
      <w:pPr>
        <w:autoSpaceDE w:val="0"/>
        <w:autoSpaceDN w:val="0"/>
        <w:contextualSpacing/>
        <w:jc w:val="both"/>
      </w:pPr>
    </w:p>
    <w:tbl>
      <w:tblPr>
        <w:tblStyle w:val="13"/>
        <w:tblW w:w="489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379"/>
      </w:tblGrid>
      <w:tr w14:paraId="0529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pct"/>
          </w:tcPr>
          <w:p w14:paraId="12682685">
            <w:pPr>
              <w:widowControl w:val="0"/>
              <w:spacing w:before="120"/>
              <w:textAlignment w:val="baseline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Сведения о заказчике</w:t>
            </w:r>
          </w:p>
        </w:tc>
        <w:tc>
          <w:tcPr>
            <w:tcW w:w="3358" w:type="pct"/>
          </w:tcPr>
          <w:p w14:paraId="73A861F3">
            <w:pPr>
              <w:widowControl w:val="0"/>
              <w:shd w:val="clear" w:color="auto" w:fill="FFFFFF"/>
              <w:contextualSpacing/>
              <w:jc w:val="both"/>
              <w:textAlignment w:val="baseline"/>
            </w:pPr>
            <w:r>
              <w:rPr>
                <w:rFonts w:eastAsia="Calibri"/>
                <w:lang w:eastAsia="en-US"/>
              </w:rPr>
              <w:t xml:space="preserve">Акционерное общество «СЕВМОРНЕФТЕГЕОФИЗИКА» </w:t>
            </w:r>
            <w:r>
              <w:rPr>
                <w:rFonts w:eastAsia="Calibri"/>
                <w:lang w:eastAsia="en-US"/>
              </w:rPr>
              <w:br w:type="textWrapping"/>
            </w:r>
            <w:r>
              <w:rPr>
                <w:rFonts w:eastAsia="Calibri"/>
                <w:lang w:eastAsia="en-US"/>
              </w:rPr>
              <w:t xml:space="preserve">(АО «СМНГ»), ОГРН 1045100152294, ИНН 5190123078, адрес: 183025, г. Мурманск, ул. Карла Маркса, д. 17. Тел.: +7 (8152) 704 - 646, </w:t>
            </w:r>
            <w:r>
              <w:rPr>
                <w:bCs/>
                <w:color w:val="00000A"/>
              </w:rPr>
              <w:t>электронная почта</w:t>
            </w:r>
            <w:r>
              <w:t>: smng@rusgeology.ru.</w:t>
            </w:r>
          </w:p>
        </w:tc>
      </w:tr>
      <w:tr w14:paraId="398DB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pct"/>
          </w:tcPr>
          <w:p w14:paraId="1704861C">
            <w:pPr>
              <w:widowControl w:val="0"/>
              <w:spacing w:before="120"/>
              <w:textAlignment w:val="baseline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Сведения об исполнителе </w:t>
            </w:r>
            <w:r>
              <w:rPr>
                <w:b/>
                <w:bCs/>
              </w:rPr>
              <w:t>работ по ОВОС</w:t>
            </w:r>
          </w:p>
        </w:tc>
        <w:tc>
          <w:tcPr>
            <w:tcW w:w="3358" w:type="pct"/>
          </w:tcPr>
          <w:p w14:paraId="0D668E6B">
            <w:pPr>
              <w:widowControl w:val="0"/>
              <w:shd w:val="clear" w:color="auto" w:fill="FFFFFF"/>
              <w:contextualSpacing/>
              <w:jc w:val="both"/>
              <w:textAlignment w:val="baseline"/>
            </w:pPr>
            <w:r>
              <w:rPr>
                <w:rFonts w:eastAsia="Calibri"/>
                <w:lang w:eastAsia="en-US"/>
              </w:rPr>
              <w:t>Общество с ограниченной ответственностью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«НефтеГазСтрой Центр»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(ООО «НГС Центр»), ОГРН 5077746307986, ИНН 7710666630, адрес: 127434, г. Москва, Дмитровское ш., д. 9, стр. 3, эт. 4, помещ. II, ком. 10. Тел.: +7 (916) 681-16-79, </w:t>
            </w:r>
            <w:r>
              <w:rPr>
                <w:bCs/>
                <w:color w:val="00000A"/>
              </w:rPr>
              <w:t>электронная почта</w:t>
            </w:r>
            <w:r>
              <w:t>: ngsce@yandex.ru.</w:t>
            </w:r>
          </w:p>
        </w:tc>
      </w:tr>
      <w:tr w14:paraId="24489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pct"/>
          </w:tcPr>
          <w:p w14:paraId="68E894EF">
            <w:pPr>
              <w:widowControl w:val="0"/>
              <w:spacing w:before="120"/>
              <w:textAlignment w:val="baseline"/>
              <w:rPr>
                <w:b/>
              </w:rPr>
            </w:pPr>
            <w:r>
              <w:rPr>
                <w:b/>
              </w:rPr>
              <w:t>Наименование уполномоченного органа, ответственного за проведение общественных обсуждений</w:t>
            </w:r>
          </w:p>
        </w:tc>
        <w:tc>
          <w:tcPr>
            <w:tcW w:w="3358" w:type="pct"/>
          </w:tcPr>
          <w:p w14:paraId="12692BAC">
            <w:pPr>
              <w:jc w:val="both"/>
            </w:pPr>
            <w:r>
              <w:t>Департамент природных ресурсов и экологии Чукотского автономного округа:</w:t>
            </w:r>
          </w:p>
          <w:p w14:paraId="4218E7E8">
            <w:pPr>
              <w:jc w:val="both"/>
            </w:pPr>
            <w:r>
              <w:t>689000, Чукотский автономный округ, город Анадырь, улица Отке, дом 26, тел. +7(42722) 6-35-65, e-mail: info@priroda.chukotka-gov.ru;</w:t>
            </w:r>
          </w:p>
          <w:p w14:paraId="46AAC4E4">
            <w:pPr>
              <w:jc w:val="both"/>
              <w:rPr>
                <w:lang w:val="en-US"/>
              </w:rPr>
            </w:pPr>
            <w:r>
              <w:t xml:space="preserve">Контактное лицо: Липатова Елизавета Викторовна, </w:t>
            </w:r>
            <w:r>
              <w:br w:type="textWrapping"/>
            </w:r>
            <w:r>
              <w:t xml:space="preserve">тел. </w:t>
            </w:r>
            <w:r>
              <w:rPr>
                <w:lang w:val="en-US"/>
              </w:rPr>
              <w:t>+7(42722) 6-35-70, e-mail: e.lipatova@priroda.chukotka-gov.ru</w:t>
            </w:r>
          </w:p>
        </w:tc>
      </w:tr>
      <w:tr w14:paraId="3C04F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642" w:type="pct"/>
          </w:tcPr>
          <w:p w14:paraId="5FB4774E">
            <w:pPr>
              <w:widowControl w:val="0"/>
              <w:spacing w:before="120"/>
              <w:textAlignment w:val="baseline"/>
              <w:rPr>
                <w:b/>
                <w:highlight w:val="green"/>
              </w:rPr>
            </w:pPr>
            <w:r>
              <w:rPr>
                <w:b/>
              </w:rPr>
              <w:t>Наименование объекта общественных обсуждений</w:t>
            </w:r>
          </w:p>
        </w:tc>
        <w:tc>
          <w:tcPr>
            <w:tcW w:w="3358" w:type="pct"/>
          </w:tcPr>
          <w:p w14:paraId="77FBF8D7">
            <w:pPr>
              <w:autoSpaceDE w:val="0"/>
              <w:autoSpaceDN w:val="0"/>
              <w:contextualSpacing/>
              <w:jc w:val="both"/>
              <w:rPr>
                <w:caps/>
                <w:spacing w:val="-1"/>
              </w:rPr>
            </w:pPr>
            <w:r>
              <w:t xml:space="preserve">Документация </w:t>
            </w:r>
            <w:r>
              <w:rPr>
                <w:rStyle w:val="17"/>
                <w:rFonts w:eastAsia="Arial"/>
                <w:b w:val="0"/>
                <w:bCs w:val="0"/>
                <w:shd w:val="clear" w:color="auto" w:fill="FFFFFF"/>
              </w:rPr>
              <w:t>«</w:t>
            </w:r>
            <w:r>
              <w:rPr>
                <w:rFonts w:eastAsia="Courier New"/>
                <w:color w:val="000000"/>
                <w:lang w:bidi="ru-RU"/>
              </w:rPr>
              <w:t>Геофизические работы в Анадырском бассейне Берингова моря с целью уточнения геологического строения и перспектив нефтегазоносности</w:t>
            </w:r>
            <w:r>
              <w:rPr>
                <w:rStyle w:val="17"/>
                <w:rFonts w:eastAsia="Arial"/>
                <w:b w:val="0"/>
                <w:bCs w:val="0"/>
                <w:shd w:val="clear" w:color="auto" w:fill="FFFFFF"/>
              </w:rPr>
              <w:t>»</w:t>
            </w:r>
            <w:r>
              <w:rPr>
                <w:rFonts w:eastAsia="Arial"/>
              </w:rPr>
              <w:t>,</w:t>
            </w:r>
            <w:r>
              <w:rPr>
                <w:rFonts w:eastAsia="Arial"/>
                <w:shd w:val="clear" w:color="auto" w:fill="FFFFFF"/>
              </w:rPr>
              <w:t xml:space="preserve"> включая материалы оценки воздействия на окружающую среду. </w:t>
            </w:r>
          </w:p>
        </w:tc>
      </w:tr>
      <w:tr w14:paraId="1EEAC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42" w:type="pct"/>
          </w:tcPr>
          <w:p w14:paraId="20BA9E24">
            <w:pPr>
              <w:widowControl w:val="0"/>
              <w:spacing w:before="120"/>
              <w:textAlignment w:val="baseline"/>
              <w:rPr>
                <w:b/>
              </w:rPr>
            </w:pPr>
            <w:r>
              <w:rPr>
                <w:b/>
              </w:rPr>
              <w:t>Наименование планируемой деятельности</w:t>
            </w:r>
          </w:p>
        </w:tc>
        <w:tc>
          <w:tcPr>
            <w:tcW w:w="3358" w:type="pct"/>
          </w:tcPr>
          <w:p w14:paraId="0E9ABC47">
            <w:pPr>
              <w:widowControl w:val="0"/>
              <w:spacing w:before="120"/>
              <w:jc w:val="both"/>
              <w:textAlignment w:val="baseline"/>
              <w:rPr>
                <w:iCs/>
              </w:rPr>
            </w:pPr>
            <w:r>
              <w:rPr>
                <w:rFonts w:eastAsia="Courier New"/>
                <w:color w:val="000000"/>
                <w:lang w:bidi="ru-RU"/>
              </w:rPr>
              <w:t>Геофизические работы в Анадырском бассейне Берингова моря с целью уточнения геологического строения и перспектив нефтегазоносности</w:t>
            </w:r>
          </w:p>
        </w:tc>
      </w:tr>
      <w:tr w14:paraId="05291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642" w:type="pct"/>
          </w:tcPr>
          <w:p w14:paraId="16B078B4">
            <w:pPr>
              <w:widowControl w:val="0"/>
              <w:spacing w:before="120"/>
              <w:textAlignment w:val="baseline"/>
              <w:rPr>
                <w:b/>
              </w:rPr>
            </w:pPr>
            <w:r>
              <w:rPr>
                <w:b/>
              </w:rPr>
              <w:t>Цель планируемой деятельности</w:t>
            </w:r>
          </w:p>
        </w:tc>
        <w:tc>
          <w:tcPr>
            <w:tcW w:w="3358" w:type="pct"/>
          </w:tcPr>
          <w:p w14:paraId="26FE8898">
            <w:pPr>
              <w:widowControl w:val="0"/>
              <w:shd w:val="clear" w:color="auto" w:fill="FFFFFF"/>
              <w:jc w:val="both"/>
              <w:textAlignment w:val="baseline"/>
            </w:pPr>
            <w:r>
              <w:rPr>
                <w:rFonts w:eastAsia="Calibri"/>
                <w:lang w:eastAsia="en-US"/>
              </w:rPr>
              <w:t>Уточнение геологического строения осадочных бассейнов на основе новых комплексных геолого-геофизических работ с целью выделения нефтегазоперспективных комплексов и зон возможного нефтегазонакопления.</w:t>
            </w:r>
          </w:p>
        </w:tc>
      </w:tr>
      <w:tr w14:paraId="72891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1642" w:type="pct"/>
          </w:tcPr>
          <w:p w14:paraId="4E963474">
            <w:pPr>
              <w:widowControl w:val="0"/>
              <w:spacing w:before="120"/>
              <w:textAlignment w:val="baseline"/>
              <w:rPr>
                <w:b/>
              </w:rPr>
            </w:pPr>
            <w:r>
              <w:rPr>
                <w:b/>
              </w:rPr>
              <w:t>Предварительное место реализации планируемой деятельности</w:t>
            </w:r>
          </w:p>
        </w:tc>
        <w:tc>
          <w:tcPr>
            <w:tcW w:w="3358" w:type="pct"/>
          </w:tcPr>
          <w:p w14:paraId="5559EA71">
            <w:pPr>
              <w:widowControl w:val="0"/>
              <w:shd w:val="clear" w:color="auto" w:fill="FFFFFF"/>
              <w:jc w:val="both"/>
              <w:textAlignment w:val="baseline"/>
            </w:pPr>
            <w:r>
              <w:t>Акватория Берингова моря в полосе северных широт 60º-65º</w:t>
            </w:r>
          </w:p>
        </w:tc>
      </w:tr>
      <w:tr w14:paraId="2E6EA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42" w:type="pct"/>
          </w:tcPr>
          <w:p w14:paraId="1936B6F2">
            <w:pPr>
              <w:widowControl w:val="0"/>
              <w:spacing w:before="120"/>
              <w:textAlignment w:val="baseline"/>
              <w:rPr>
                <w:highlight w:val="green"/>
              </w:rPr>
            </w:pPr>
            <w:r>
              <w:rPr>
                <w:b/>
              </w:rPr>
              <w:t>Контактные данные ответственных лиц со стороны заказчика (исполнителя)</w:t>
            </w:r>
          </w:p>
        </w:tc>
        <w:tc>
          <w:tcPr>
            <w:tcW w:w="3358" w:type="pct"/>
          </w:tcPr>
          <w:p w14:paraId="234FCE72">
            <w:pPr>
              <w:widowControl w:val="0"/>
              <w:shd w:val="clear" w:color="auto" w:fill="FFFFFF"/>
              <w:contextualSpacing/>
              <w:jc w:val="both"/>
              <w:textAlignment w:val="baseline"/>
            </w:pPr>
            <w:r>
              <w:t>Контактные данные ответственного лица со стороны заказчика:</w:t>
            </w:r>
          </w:p>
          <w:p w14:paraId="5EB7B3E2">
            <w:pPr>
              <w:widowControl w:val="0"/>
              <w:shd w:val="clear" w:color="auto" w:fill="FFFFFF"/>
              <w:contextualSpacing/>
              <w:jc w:val="both"/>
              <w:textAlignment w:val="baseline"/>
            </w:pPr>
            <w:r>
              <w:t>Костенков Вячеслав Витальевич – специалист по охране окружающей среды, тел.: +7 (960) 026-09-60, электронная почта: KostenkovVV@rusgeology.ru.</w:t>
            </w:r>
          </w:p>
          <w:p w14:paraId="6F923F9F">
            <w:pPr>
              <w:widowControl w:val="0"/>
              <w:shd w:val="clear" w:color="auto" w:fill="FFFFFF"/>
              <w:contextualSpacing/>
              <w:jc w:val="both"/>
              <w:textAlignment w:val="baseline"/>
            </w:pPr>
            <w:r>
              <w:t xml:space="preserve">Контактные данные ответственного лица со стороны исполнителя: </w:t>
            </w:r>
          </w:p>
          <w:p w14:paraId="6AAE0EB3">
            <w:pPr>
              <w:widowControl w:val="0"/>
              <w:shd w:val="clear" w:color="auto" w:fill="FFFFFF"/>
              <w:contextualSpacing/>
              <w:jc w:val="both"/>
              <w:textAlignment w:val="baseline"/>
            </w:pPr>
            <w:r>
              <w:t>Ильичев Николай Вячеславович – заместитель генерального директора, тел.: +7 (916) 681-16-79, электронная почта: ngsce@yandex.ru.</w:t>
            </w:r>
          </w:p>
        </w:tc>
      </w:tr>
      <w:tr w14:paraId="46F05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642" w:type="pct"/>
          </w:tcPr>
          <w:p w14:paraId="32603CB3">
            <w:pPr>
              <w:widowControl w:val="0"/>
              <w:spacing w:before="120"/>
              <w:textAlignment w:val="baseline"/>
              <w:rPr>
                <w:b/>
              </w:rPr>
            </w:pPr>
            <w:r>
              <w:rPr>
                <w:b/>
              </w:rPr>
              <w:t>Иная информация по желанию заказчика (исполнителя)</w:t>
            </w:r>
          </w:p>
        </w:tc>
        <w:tc>
          <w:tcPr>
            <w:tcW w:w="3358" w:type="pct"/>
          </w:tcPr>
          <w:p w14:paraId="181E883F">
            <w:pPr>
              <w:widowControl w:val="0"/>
              <w:shd w:val="clear" w:color="auto" w:fill="FFFFFF"/>
              <w:jc w:val="both"/>
              <w:textAlignment w:val="baseline"/>
            </w:pPr>
            <w:r>
              <w:t>-</w:t>
            </w:r>
          </w:p>
        </w:tc>
      </w:tr>
      <w:tr w14:paraId="6BB84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42" w:type="pct"/>
          </w:tcPr>
          <w:p w14:paraId="22960BF8">
            <w:pPr>
              <w:widowControl w:val="0"/>
              <w:spacing w:before="120"/>
              <w:textAlignment w:val="baseline"/>
              <w:rPr>
                <w:b/>
              </w:rPr>
            </w:pPr>
            <w:r>
              <w:rPr>
                <w:b/>
              </w:rPr>
              <w:t>Место очного ознакомления с объектом общественных обсуждений, дата открытия доступа, срок доступности</w:t>
            </w:r>
          </w:p>
        </w:tc>
        <w:tc>
          <w:tcPr>
            <w:tcW w:w="3358" w:type="pct"/>
          </w:tcPr>
          <w:p w14:paraId="2EC0DDE1">
            <w:pPr>
              <w:jc w:val="both"/>
            </w:pPr>
            <w:r>
              <w:t xml:space="preserve">Департамент природных ресурсов и экологии Чукотского автономного округа: 689000, Чукотский АО, город Анадырь, улица Отке, дом 26, кабинет 14, тел. +7(42722) 6-35-65, e-mail: info@priroda.chukotka-gov.ru, </w:t>
            </w:r>
          </w:p>
          <w:p w14:paraId="730EA130">
            <w:pPr>
              <w:jc w:val="both"/>
            </w:pPr>
            <w:r>
              <w:t>Дата открытия доступа: 16.06.2026</w:t>
            </w:r>
          </w:p>
          <w:p w14:paraId="283CD5CE">
            <w:pPr>
              <w:jc w:val="both"/>
              <w:rPr>
                <w:i/>
              </w:rPr>
            </w:pPr>
            <w:r>
              <w:t>Срок доступности: с 16.06.2026 по 15.07.2026 включительно (30 календарных дней), с 09.00 ч. до 12.45 ч. и 14.30 до 18.00 ч. кроме выходных дней.</w:t>
            </w:r>
          </w:p>
        </w:tc>
      </w:tr>
      <w:tr w14:paraId="741F1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642" w:type="pct"/>
          </w:tcPr>
          <w:p w14:paraId="487DF745">
            <w:pPr>
              <w:widowControl w:val="0"/>
              <w:spacing w:before="120"/>
              <w:textAlignment w:val="baseline"/>
              <w:rPr>
                <w:b/>
                <w:highlight w:val="green"/>
              </w:rPr>
            </w:pPr>
            <w:r>
              <w:rPr>
                <w:b/>
                <w:color w:val="443A3A"/>
              </w:rPr>
              <w:t>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размещения:</w:t>
            </w:r>
          </w:p>
        </w:tc>
        <w:tc>
          <w:tcPr>
            <w:tcW w:w="3358" w:type="pct"/>
          </w:tcPr>
          <w:p w14:paraId="420A2EBA">
            <w:pPr>
              <w:jc w:val="both"/>
            </w:pPr>
            <w:r>
              <w:t>В электронном виде документация, включая материалы оценки воздействия на окружающую среду, размещены на официальном сайте ООО «НГС Центр» по адресу http://www.ngsce.ru в разделе «Общественные обсуждения»</w:t>
            </w:r>
          </w:p>
          <w:p w14:paraId="7A521BD8">
            <w:pPr>
              <w:jc w:val="both"/>
            </w:pPr>
            <w:r>
              <w:t>Дата и срок их размещения: с 16.06.2026 по 15.07.2026 включительно (30 календарных дней).</w:t>
            </w:r>
          </w:p>
          <w:p w14:paraId="27C959F7">
            <w:pPr>
              <w:jc w:val="both"/>
              <w:rPr>
                <w:iCs/>
              </w:rPr>
            </w:pPr>
            <w:r>
              <w:rPr>
                <w:iCs/>
              </w:rPr>
              <w:t>С уведомлением можно ознакомиться на сайте Департамента природных ресурсов и экологии Чукотского автономного округа по ссылке:</w:t>
            </w:r>
          </w:p>
          <w:p w14:paraId="676B6888">
            <w:pPr>
              <w:jc w:val="both"/>
              <w:rPr>
                <w:iCs/>
              </w:rPr>
            </w:pPr>
            <w:r>
              <w:rPr>
                <w:iCs/>
              </w:rPr>
              <w:t>https://чукотка.рф/deprirod/activity/obshchestvennye-obsuzhdeniya/obshchestvennye-obsuzhdeniya-predvaritelnykh-materialov-otsenki-vozdeystviya-na-okruzhayushchuyu-sre/obshchestvennye-obsuzhdeniya-predvaritelnykh-materialov-otsenki-vozdeystviya-na-okruzhayushchuyu_26/</w:t>
            </w:r>
          </w:p>
          <w:p w14:paraId="4A684E1E">
            <w:pPr>
              <w:jc w:val="both"/>
              <w:rPr>
                <w:iCs/>
              </w:rPr>
            </w:pPr>
            <w:r>
              <w:rPr>
                <w:iCs/>
              </w:rPr>
              <w:t>С материалами можно ознакомиться по ссылке</w:t>
            </w:r>
          </w:p>
          <w:p w14:paraId="5EEFC286">
            <w:pPr>
              <w:jc w:val="both"/>
              <w:rPr>
                <w:rStyle w:val="16"/>
                <w:iCs/>
                <w:color w:val="auto"/>
                <w:u w:val="none"/>
              </w:rPr>
            </w:pPr>
            <w:r>
              <w:fldChar w:fldCharType="begin"/>
            </w:r>
            <w:r>
              <w:instrText xml:space="preserve"> HYPERLINK "https://чукотка.рф/deprirod/documents/materialy-obshchestvennykh-obsuzhdeniy/materialy-obshchestvennykh-obsuzhdeniy-za-2026-god/" </w:instrText>
            </w:r>
            <w:r>
              <w:fldChar w:fldCharType="separate"/>
            </w:r>
            <w:r>
              <w:rPr>
                <w:rStyle w:val="16"/>
                <w:iCs/>
                <w:color w:val="auto"/>
                <w:u w:val="none"/>
              </w:rPr>
              <w:t>https://чукотка.рф/deprirod/documents/materialy-obshchestvennykh-obsuzhdeniy/materialy-obshchestvennykh-obsuzhdeniy-za-2026-god/</w:t>
            </w:r>
            <w:r>
              <w:rPr>
                <w:rStyle w:val="16"/>
                <w:iCs/>
                <w:color w:val="auto"/>
                <w:u w:val="none"/>
              </w:rPr>
              <w:fldChar w:fldCharType="end"/>
            </w:r>
          </w:p>
          <w:p w14:paraId="1CFF6D23">
            <w:pPr>
              <w:jc w:val="both"/>
            </w:pPr>
            <w:r>
              <w:t xml:space="preserve">Окончательные материалы оценки воздействия на окружающую среду будут размещены на официальном сайте ООО «НГС Центр» по адресу http://www.ngsce.ru в разделе «Общественные обсуждения не позднее 11.08.2026 и доступны в течение 30 дней после их размещения. </w:t>
            </w:r>
          </w:p>
        </w:tc>
      </w:tr>
      <w:tr w14:paraId="3AA5F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642" w:type="pct"/>
          </w:tcPr>
          <w:p w14:paraId="19DD095A">
            <w:pPr>
              <w:widowControl w:val="0"/>
              <w:spacing w:before="120"/>
              <w:textAlignment w:val="baseline"/>
              <w:rPr>
                <w:b/>
                <w:strike/>
                <w:highlight w:val="green"/>
              </w:rPr>
            </w:pPr>
            <w:r>
              <w:rPr>
                <w:b/>
                <w:color w:val="443A3A"/>
              </w:rPr>
              <w:t>Информация о возможности проведения общественных слушаний по инициативе граждан</w:t>
            </w:r>
          </w:p>
        </w:tc>
        <w:tc>
          <w:tcPr>
            <w:tcW w:w="3358" w:type="pct"/>
          </w:tcPr>
          <w:p w14:paraId="7A2312B0">
            <w:pPr>
              <w:spacing w:before="120"/>
              <w:jc w:val="both"/>
            </w:pPr>
            <w:r>
              <w:rPr>
                <w:bCs/>
              </w:rPr>
              <w:t xml:space="preserve">Проведение слушаний может быть инициировано гражданами в течение 7 календарных дней с даты размещения для ознакомления общественности объекта обсуждений. </w:t>
            </w:r>
          </w:p>
          <w:p w14:paraId="34D53F77">
            <w:pPr>
              <w:spacing w:before="120"/>
              <w:ind w:left="360"/>
              <w:jc w:val="both"/>
            </w:pPr>
          </w:p>
        </w:tc>
      </w:tr>
      <w:tr w14:paraId="0C532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642" w:type="pct"/>
          </w:tcPr>
          <w:p w14:paraId="19A4D067">
            <w:pPr>
              <w:widowControl w:val="0"/>
              <w:spacing w:before="120"/>
              <w:textAlignment w:val="baseline"/>
              <w:rPr>
                <w:b/>
                <w:color w:val="443A3A"/>
              </w:rPr>
            </w:pPr>
            <w:r>
              <w:rPr>
                <w:b/>
                <w:color w:val="443A3A"/>
              </w:rPr>
              <w:t>Информация о порядке внесения участниками общественных обсуждений предложений и замечаний, касающихся объекта обсуждений</w:t>
            </w:r>
          </w:p>
        </w:tc>
        <w:tc>
          <w:tcPr>
            <w:tcW w:w="3358" w:type="pct"/>
          </w:tcPr>
          <w:p w14:paraId="63CCAB23">
            <w:pPr>
              <w:jc w:val="both"/>
            </w:pPr>
            <w:r>
              <w:t>В форме электронного документа в адрес Департамента природных ресурсов и экологии Чукотского автономного округа:</w:t>
            </w:r>
          </w:p>
          <w:p w14:paraId="299C6EEF">
            <w:pPr>
              <w:jc w:val="both"/>
            </w:pPr>
            <w:r>
              <w:t>689000, Чукотский автономный округ, город Анадырь, улица Отке, дом 26: тел. +7(42722) 6-35-65, e-mail: info@priroda.chukotka-gov.ru, с указанием: Ф.И.О., даты рождения, адреса места жительства (регистрации), телефона, e-mail (при наличии).</w:t>
            </w:r>
          </w:p>
          <w:p w14:paraId="3C11C42F">
            <w:pPr>
              <w:jc w:val="both"/>
            </w:pPr>
            <w: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4FF73762">
            <w:pPr>
              <w:jc w:val="both"/>
            </w:pPr>
            <w: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467B00DD">
            <w:pPr>
              <w:jc w:val="both"/>
            </w:pPr>
            <w: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14FD6D63">
            <w:pPr>
              <w:jc w:val="both"/>
            </w:pPr>
            <w:r>
              <w:t>согласие на обработку персональных данных в соответствии с законодательством Российской Федерации в области персональных данных (приложение 1);</w:t>
            </w:r>
          </w:p>
          <w:p w14:paraId="7D3BD6AE">
            <w:pPr>
              <w:jc w:val="both"/>
            </w:pPr>
            <w:r>
              <w:t>согласие на участие в подписании протокола общественных обсуждений, способ направления и подписания указанного протокола (приложение 2).</w:t>
            </w:r>
          </w:p>
          <w:p w14:paraId="113DDFFF">
            <w:pPr>
              <w:jc w:val="both"/>
            </w:pPr>
            <w:r>
              <w:t>В случае отказа участника общественных обсуждений в предоставлении указанных сведений, в журнале учёта замечаний и предложений участников общественных обсуждений уполномоченным органом делается соответствующая отметка, замечания и предложения не подлежат обязательному рассмотрению заказчиком.</w:t>
            </w:r>
          </w:p>
        </w:tc>
      </w:tr>
    </w:tbl>
    <w:p w14:paraId="1C90B012"/>
    <w:p w14:paraId="4BC6757B">
      <w:r>
        <w:br w:type="page"/>
      </w:r>
    </w:p>
    <w:p w14:paraId="4EA4E987">
      <w:pPr>
        <w:spacing w:before="80" w:after="80" w:line="276" w:lineRule="auto"/>
        <w:ind w:firstLine="709"/>
        <w:jc w:val="right"/>
      </w:pPr>
      <w:r>
        <w:t>Приложение 1</w:t>
      </w:r>
    </w:p>
    <w:p w14:paraId="0AE6B261">
      <w:pPr>
        <w:spacing w:before="80" w:after="80" w:line="276" w:lineRule="auto"/>
        <w:ind w:firstLine="709"/>
        <w:jc w:val="both"/>
      </w:pPr>
    </w:p>
    <w:p w14:paraId="5C3633EC">
      <w:pPr>
        <w:spacing w:before="80" w:after="80" w:line="276" w:lineRule="auto"/>
        <w:ind w:firstLine="709"/>
        <w:jc w:val="both"/>
        <w:rPr>
          <w:b/>
        </w:rPr>
      </w:pPr>
      <w:r>
        <w:rPr>
          <w:b/>
        </w:rPr>
        <w:t>Согласие на обработку персональных данных</w:t>
      </w:r>
    </w:p>
    <w:p w14:paraId="7F1F2832">
      <w:pPr>
        <w:spacing w:before="80" w:after="80" w:line="276" w:lineRule="auto"/>
        <w:ind w:firstLine="709"/>
        <w:jc w:val="both"/>
        <w:rPr>
          <w:b/>
        </w:rPr>
      </w:pPr>
    </w:p>
    <w:p w14:paraId="68C363EC">
      <w:pPr>
        <w:spacing w:before="80" w:after="80" w:line="276" w:lineRule="auto"/>
        <w:ind w:firstLine="709"/>
        <w:jc w:val="both"/>
      </w:pPr>
      <w:r>
        <w:t>Я, ____________________________________________________________________,</w:t>
      </w:r>
    </w:p>
    <w:p w14:paraId="33220EF3">
      <w:pPr>
        <w:spacing w:before="80" w:after="80" w:line="276" w:lineRule="auto"/>
        <w:jc w:val="center"/>
      </w:pPr>
      <w:r>
        <w:rPr>
          <w:sz w:val="16"/>
        </w:rPr>
        <w:t>(ФИО)</w:t>
      </w:r>
    </w:p>
    <w:p w14:paraId="09BD89F0">
      <w:pPr>
        <w:spacing w:before="80" w:after="80" w:line="276" w:lineRule="auto"/>
        <w:ind w:firstLine="709"/>
        <w:jc w:val="both"/>
      </w:pPr>
      <w:r>
        <w:t>проживающий (ая) по адресу:  ____________________________________________</w:t>
      </w:r>
    </w:p>
    <w:p w14:paraId="13AA6758">
      <w:pPr>
        <w:spacing w:before="80" w:after="80" w:line="276" w:lineRule="auto"/>
        <w:ind w:firstLine="709"/>
        <w:jc w:val="both"/>
      </w:pPr>
      <w:r>
        <w:t>______________________________________________________________________,</w:t>
      </w:r>
    </w:p>
    <w:p w14:paraId="1558729A">
      <w:pPr>
        <w:spacing w:before="80" w:after="80" w:line="276" w:lineRule="auto"/>
        <w:ind w:firstLine="709"/>
        <w:jc w:val="both"/>
      </w:pPr>
      <w:r>
        <w:t xml:space="preserve">удостоверяющий личность </w:t>
      </w:r>
      <w:r>
        <w:rPr>
          <w:u w:val="single"/>
        </w:rPr>
        <w:t>паспорт:</w:t>
      </w:r>
      <w:r>
        <w:t xml:space="preserve"> серия _____ номер __________</w:t>
      </w:r>
      <w:r>
        <w:rPr>
          <w:u w:val="single"/>
        </w:rPr>
        <w:t>,</w:t>
      </w:r>
      <w:r>
        <w:t xml:space="preserve"> дата выдачи_____________, орган выдавший: _________________________________________.</w:t>
      </w:r>
    </w:p>
    <w:p w14:paraId="086B1D2C">
      <w:pPr>
        <w:spacing w:before="80" w:after="80" w:line="276" w:lineRule="auto"/>
        <w:ind w:firstLine="709"/>
        <w:jc w:val="both"/>
      </w:pPr>
      <w:r>
        <w:t>даю своё согласие на обработку своих персональных данных (согласно Перечня)</w:t>
      </w:r>
    </w:p>
    <w:p w14:paraId="75743557">
      <w:pPr>
        <w:spacing w:before="80" w:after="80" w:line="276" w:lineRule="auto"/>
        <w:ind w:firstLine="709"/>
        <w:jc w:val="both"/>
        <w:rPr>
          <w:b/>
        </w:rPr>
      </w:pPr>
      <w:r>
        <w:t xml:space="preserve"> </w:t>
      </w:r>
      <w:r>
        <w:rPr>
          <w:b/>
        </w:rPr>
        <w:t>Перечень персональных данных, на обработку которых дается согласие:</w:t>
      </w:r>
    </w:p>
    <w:tbl>
      <w:tblPr>
        <w:tblStyle w:val="1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8"/>
        <w:gridCol w:w="8121"/>
      </w:tblGrid>
      <w:tr w14:paraId="1E9EF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33406">
            <w:pPr>
              <w:spacing w:line="276" w:lineRule="auto"/>
              <w:ind w:left="-15" w:firstLine="15"/>
              <w:jc w:val="both"/>
            </w:pPr>
            <w:r>
              <w:rPr>
                <w:b/>
              </w:rPr>
              <w:t>№ п.п</w:t>
            </w:r>
            <w:r>
              <w:t>.</w:t>
            </w:r>
          </w:p>
        </w:tc>
        <w:tc>
          <w:tcPr>
            <w:tcW w:w="8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C989">
            <w:pPr>
              <w:spacing w:line="276" w:lineRule="auto"/>
              <w:ind w:firstLine="709"/>
              <w:jc w:val="both"/>
              <w:rPr>
                <w:b/>
              </w:rPr>
            </w:pPr>
            <w:r>
              <w:rPr>
                <w:b/>
              </w:rPr>
              <w:t>Персональные данные</w:t>
            </w:r>
          </w:p>
        </w:tc>
      </w:tr>
      <w:tr w14:paraId="0A42D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B7F18">
            <w:pPr>
              <w:spacing w:line="276" w:lineRule="auto"/>
              <w:ind w:firstLine="15"/>
              <w:jc w:val="both"/>
            </w:pPr>
            <w:r>
              <w:t>1.</w:t>
            </w:r>
          </w:p>
        </w:tc>
        <w:tc>
          <w:tcPr>
            <w:tcW w:w="8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02DFB">
            <w:pPr>
              <w:spacing w:line="276" w:lineRule="auto"/>
              <w:ind w:firstLine="144"/>
              <w:jc w:val="both"/>
            </w:pPr>
            <w:r>
              <w:t xml:space="preserve">Фамилия Имя Отчество </w:t>
            </w:r>
          </w:p>
        </w:tc>
      </w:tr>
      <w:tr w14:paraId="7797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78685">
            <w:pPr>
              <w:spacing w:line="276" w:lineRule="auto"/>
              <w:ind w:firstLine="15"/>
              <w:jc w:val="both"/>
            </w:pPr>
            <w:r>
              <w:t>2.</w:t>
            </w:r>
          </w:p>
        </w:tc>
        <w:tc>
          <w:tcPr>
            <w:tcW w:w="8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DAB0D">
            <w:pPr>
              <w:spacing w:line="276" w:lineRule="auto"/>
              <w:ind w:firstLine="144"/>
              <w:jc w:val="both"/>
            </w:pPr>
            <w:r>
              <w:t>Дата рождения</w:t>
            </w:r>
          </w:p>
        </w:tc>
      </w:tr>
      <w:tr w14:paraId="5D194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B9E58">
            <w:pPr>
              <w:spacing w:line="276" w:lineRule="auto"/>
              <w:ind w:firstLine="15"/>
              <w:jc w:val="both"/>
            </w:pPr>
            <w:r>
              <w:t>3.</w:t>
            </w:r>
          </w:p>
        </w:tc>
        <w:tc>
          <w:tcPr>
            <w:tcW w:w="8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288E7">
            <w:pPr>
              <w:spacing w:line="276" w:lineRule="auto"/>
              <w:ind w:firstLine="144"/>
              <w:jc w:val="both"/>
            </w:pPr>
            <w:r>
              <w:t>Паспортные данные</w:t>
            </w:r>
          </w:p>
        </w:tc>
      </w:tr>
      <w:tr w14:paraId="30814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4ED0E">
            <w:pPr>
              <w:spacing w:line="276" w:lineRule="auto"/>
              <w:ind w:firstLine="15"/>
              <w:jc w:val="both"/>
            </w:pPr>
            <w:r>
              <w:t>4.</w:t>
            </w:r>
          </w:p>
        </w:tc>
        <w:tc>
          <w:tcPr>
            <w:tcW w:w="8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3059F">
            <w:pPr>
              <w:spacing w:line="276" w:lineRule="auto"/>
              <w:ind w:firstLine="144"/>
              <w:jc w:val="both"/>
            </w:pPr>
            <w:r>
              <w:t>Адрес субъекта персональных данных</w:t>
            </w:r>
          </w:p>
        </w:tc>
      </w:tr>
      <w:tr w14:paraId="043E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08772">
            <w:pPr>
              <w:spacing w:line="276" w:lineRule="auto"/>
              <w:ind w:firstLine="15"/>
              <w:jc w:val="both"/>
            </w:pPr>
            <w:r>
              <w:t>5.</w:t>
            </w:r>
          </w:p>
        </w:tc>
        <w:tc>
          <w:tcPr>
            <w:tcW w:w="8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E00F6">
            <w:pPr>
              <w:spacing w:line="276" w:lineRule="auto"/>
              <w:ind w:firstLine="144"/>
              <w:jc w:val="both"/>
            </w:pPr>
            <w:r>
              <w:t xml:space="preserve">Номер контактного телефона </w:t>
            </w:r>
          </w:p>
        </w:tc>
      </w:tr>
      <w:tr w14:paraId="074D4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D7EED">
            <w:pPr>
              <w:spacing w:line="276" w:lineRule="auto"/>
              <w:ind w:firstLine="15"/>
              <w:jc w:val="both"/>
            </w:pPr>
            <w:r>
              <w:t>6.</w:t>
            </w:r>
          </w:p>
        </w:tc>
        <w:tc>
          <w:tcPr>
            <w:tcW w:w="8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447AB">
            <w:pPr>
              <w:spacing w:line="276" w:lineRule="auto"/>
              <w:ind w:firstLine="144"/>
              <w:jc w:val="both"/>
            </w:pPr>
            <w:r>
              <w:t>Адрес электронной почты</w:t>
            </w:r>
          </w:p>
        </w:tc>
      </w:tr>
    </w:tbl>
    <w:p w14:paraId="294BF01B">
      <w:pPr>
        <w:spacing w:line="276" w:lineRule="auto"/>
        <w:ind w:firstLine="709"/>
        <w:jc w:val="both"/>
        <w:rPr>
          <w:b/>
        </w:rPr>
      </w:pPr>
    </w:p>
    <w:p w14:paraId="359B07B2">
      <w:pPr>
        <w:spacing w:before="80" w:after="80" w:line="276" w:lineRule="auto"/>
        <w:ind w:firstLine="709"/>
        <w:jc w:val="both"/>
      </w:pPr>
      <w:r>
        <w:rPr>
          <w:b/>
        </w:rPr>
        <w:t>в Департамент природных ресурсов и экологии Чукотского автономного округа (далее – Оператор персональных данных)</w:t>
      </w:r>
      <w:r>
        <w:t>, для обработки, включая сбор, систематизацию, накопление, хранение, использование, уничтожение.</w:t>
      </w:r>
    </w:p>
    <w:p w14:paraId="6C5B7539">
      <w:pPr>
        <w:spacing w:before="80" w:after="80" w:line="276" w:lineRule="auto"/>
        <w:ind w:firstLine="709"/>
        <w:jc w:val="both"/>
      </w:pPr>
      <w:r>
        <w:t>Субъект персональных данных вправе отозвать данное согласие на обработку своих персональных данных, письменно уведомив об этом Оператора персональных данных.</w:t>
      </w:r>
    </w:p>
    <w:p w14:paraId="733979DA">
      <w:pPr>
        <w:spacing w:before="80" w:after="80" w:line="276" w:lineRule="auto"/>
        <w:ind w:firstLine="709"/>
        <w:jc w:val="both"/>
      </w:pPr>
      <w:r>
        <w:t>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Оператор обязан уведомить субъекта персональных данных.</w:t>
      </w:r>
    </w:p>
    <w:p w14:paraId="79ABBF83">
      <w:pPr>
        <w:spacing w:before="80" w:after="80" w:line="276" w:lineRule="auto"/>
        <w:ind w:firstLine="709"/>
        <w:jc w:val="both"/>
      </w:pPr>
    </w:p>
    <w:p w14:paraId="6C6247CF">
      <w:pPr>
        <w:spacing w:before="80" w:after="80" w:line="276" w:lineRule="auto"/>
        <w:ind w:firstLine="709"/>
        <w:jc w:val="both"/>
      </w:pPr>
    </w:p>
    <w:p w14:paraId="092E9898">
      <w:pPr>
        <w:spacing w:before="80" w:after="80" w:line="276" w:lineRule="auto"/>
        <w:jc w:val="both"/>
      </w:pPr>
      <w:r>
        <w:t>Подпись: ________________________                 Число, месяц, год: ____________________</w:t>
      </w:r>
    </w:p>
    <w:p w14:paraId="7B011B6C">
      <w:r>
        <w:br w:type="page"/>
      </w:r>
    </w:p>
    <w:p w14:paraId="4D3FBE23">
      <w:pPr>
        <w:spacing w:before="80" w:after="80" w:line="276" w:lineRule="auto"/>
        <w:ind w:firstLine="709"/>
        <w:jc w:val="right"/>
      </w:pPr>
      <w:r>
        <w:t>Приложение 2</w:t>
      </w:r>
    </w:p>
    <w:p w14:paraId="097907CE">
      <w:pPr>
        <w:spacing w:before="80" w:after="80" w:line="276" w:lineRule="auto"/>
        <w:ind w:firstLine="709"/>
        <w:jc w:val="both"/>
      </w:pPr>
    </w:p>
    <w:p w14:paraId="2D0B4270">
      <w:pPr>
        <w:spacing w:before="80" w:after="80" w:line="276" w:lineRule="auto"/>
        <w:jc w:val="center"/>
      </w:pPr>
      <w:r>
        <w:t>Согласие</w:t>
      </w:r>
    </w:p>
    <w:p w14:paraId="1B3BE1FC">
      <w:pPr>
        <w:spacing w:before="80" w:after="80" w:line="276" w:lineRule="auto"/>
        <w:jc w:val="center"/>
      </w:pPr>
      <w:r>
        <w:t>на участие в подписании протокола общественных обсуждений</w:t>
      </w:r>
    </w:p>
    <w:p w14:paraId="58559F00">
      <w:pPr>
        <w:spacing w:before="80" w:after="80" w:line="276" w:lineRule="auto"/>
        <w:ind w:firstLine="709"/>
        <w:jc w:val="both"/>
      </w:pPr>
    </w:p>
    <w:p w14:paraId="180D19E5">
      <w:pPr>
        <w:spacing w:before="80" w:after="80" w:line="276" w:lineRule="auto"/>
        <w:ind w:firstLine="709"/>
        <w:jc w:val="both"/>
      </w:pPr>
      <w:r>
        <w:t>Я, _____________________________________________________________________,</w:t>
      </w:r>
    </w:p>
    <w:p w14:paraId="4742FED6">
      <w:pPr>
        <w:spacing w:before="80" w:after="80" w:line="276" w:lineRule="auto"/>
        <w:jc w:val="center"/>
      </w:pPr>
      <w:r>
        <w:rPr>
          <w:sz w:val="16"/>
        </w:rPr>
        <w:t>(ФИО)</w:t>
      </w:r>
    </w:p>
    <w:p w14:paraId="3F02CF29">
      <w:pPr>
        <w:spacing w:before="80" w:after="80" w:line="276" w:lineRule="auto"/>
        <w:ind w:firstLine="709"/>
        <w:jc w:val="both"/>
      </w:pPr>
      <w:r>
        <w:t>проживающий (ая) по адресу: _____________________________________________</w:t>
      </w:r>
    </w:p>
    <w:p w14:paraId="1D6995B5">
      <w:pPr>
        <w:spacing w:before="80" w:after="80" w:line="276" w:lineRule="auto"/>
        <w:ind w:firstLine="709"/>
        <w:jc w:val="both"/>
      </w:pPr>
      <w:r>
        <w:t>_______________________________________________________________________,</w:t>
      </w:r>
    </w:p>
    <w:p w14:paraId="221435C3">
      <w:pPr>
        <w:tabs>
          <w:tab w:val="left" w:pos="8789"/>
        </w:tabs>
        <w:spacing w:before="80" w:after="80" w:line="276" w:lineRule="auto"/>
        <w:ind w:firstLine="709"/>
        <w:jc w:val="both"/>
      </w:pPr>
      <w:r>
        <w:t xml:space="preserve">удостоверяющий личность </w:t>
      </w:r>
      <w:r>
        <w:rPr>
          <w:u w:val="single"/>
        </w:rPr>
        <w:t>паспорт:</w:t>
      </w:r>
      <w:r>
        <w:t xml:space="preserve"> серия __________ номер __________________, </w:t>
      </w:r>
    </w:p>
    <w:p w14:paraId="52872AAD">
      <w:pPr>
        <w:spacing w:before="80" w:after="80" w:line="276" w:lineRule="auto"/>
        <w:ind w:firstLine="709"/>
        <w:jc w:val="both"/>
      </w:pPr>
      <w:r>
        <w:t xml:space="preserve">дата выдачи _____________, </w:t>
      </w:r>
    </w:p>
    <w:p w14:paraId="7563FDD2">
      <w:pPr>
        <w:spacing w:before="80" w:after="80" w:line="276" w:lineRule="auto"/>
        <w:ind w:firstLine="709"/>
        <w:jc w:val="both"/>
      </w:pPr>
      <w:r>
        <w:t>орган выдавший: ________________________________________________________</w:t>
      </w:r>
    </w:p>
    <w:p w14:paraId="3FD01099">
      <w:pPr>
        <w:spacing w:before="80" w:after="80" w:line="276" w:lineRule="auto"/>
        <w:ind w:firstLine="709"/>
        <w:jc w:val="both"/>
      </w:pPr>
      <w:r>
        <w:t>_______________________________________________________________________,</w:t>
      </w:r>
    </w:p>
    <w:p w14:paraId="15DD3DEF">
      <w:pPr>
        <w:spacing w:before="80" w:after="80" w:line="276" w:lineRule="auto"/>
        <w:ind w:firstLine="709"/>
        <w:jc w:val="both"/>
      </w:pPr>
      <w:r>
        <w:t xml:space="preserve">настоящим выражаю своё согласие </w:t>
      </w:r>
      <w:r>
        <w:rPr>
          <w:b/>
        </w:rPr>
        <w:t>Департаменту природных ресурсов и экологии Чукотского автономного округа</w:t>
      </w:r>
      <w:r>
        <w:t xml:space="preserve"> на участие в подписании протокола общественных обсуждений по объекту общественных обсуждений ____________________</w:t>
      </w:r>
    </w:p>
    <w:p w14:paraId="7A3BB7D9">
      <w:pPr>
        <w:spacing w:before="80" w:after="80" w:line="276" w:lineRule="auto"/>
        <w:jc w:val="both"/>
      </w:pPr>
      <w:r>
        <w:t>_____________________________________________________________________________</w:t>
      </w:r>
    </w:p>
    <w:p w14:paraId="1CCD4E0D">
      <w:pPr>
        <w:spacing w:before="80" w:after="80" w:line="276" w:lineRule="auto"/>
        <w:ind w:firstLine="709"/>
        <w:jc w:val="both"/>
      </w:pPr>
    </w:p>
    <w:p w14:paraId="02B35B9D">
      <w:pPr>
        <w:spacing w:before="80" w:after="80" w:line="276" w:lineRule="auto"/>
        <w:jc w:val="both"/>
      </w:pPr>
      <w:r>
        <w:t>Подпись: ___________________(Ф.И.О.)                       Дата: «____»__________   ______год</w:t>
      </w:r>
    </w:p>
    <w:p w14:paraId="77A50835">
      <w:pPr>
        <w:ind w:firstLine="709"/>
        <w:jc w:val="both"/>
        <w:rPr>
          <w:bCs/>
        </w:rPr>
      </w:pPr>
    </w:p>
    <w:p w14:paraId="472A3E7E"/>
    <w:sectPr>
      <w:pgSz w:w="11906" w:h="16838"/>
      <w:pgMar w:top="1134" w:right="850" w:bottom="851" w:left="1560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DL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5px;height:15px" o:bullet="t">
        <v:imagedata r:id="rId1" o:title=""/>
      </v:shape>
    </w:pict>
  </w:numPicBullet>
  <w:numPicBullet w:numPicBulletId="1">
    <w:pict>
      <v:shape id="1" type="#_x0000_t75" style="width:15px;height:15px" o:bullet="t">
        <v:imagedata r:id="rId2" o:title=""/>
      </v:shape>
    </w:pict>
  </w:numPicBullet>
  <w:abstractNum w:abstractNumId="0">
    <w:nsid w:val="116F7EC0"/>
    <w:multiLevelType w:val="multilevel"/>
    <w:tmpl w:val="116F7EC0"/>
    <w:lvl w:ilvl="0" w:tentative="0">
      <w:start w:val="1"/>
      <w:numFmt w:val="decimal"/>
      <w:pStyle w:val="2"/>
      <w:lvlText w:val="%1."/>
      <w:lvlJc w:val="left"/>
      <w:pPr>
        <w:tabs>
          <w:tab w:val="left" w:pos="1077"/>
        </w:tabs>
        <w:ind w:left="1077" w:hanging="1077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tabs>
          <w:tab w:val="left" w:pos="1077"/>
        </w:tabs>
        <w:ind w:left="1077" w:hanging="1077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 w:tentative="0">
      <w:start w:val="1"/>
      <w:numFmt w:val="decimal"/>
      <w:pStyle w:val="4"/>
      <w:lvlText w:val="%1.%2.%3."/>
      <w:lvlJc w:val="left"/>
      <w:pPr>
        <w:tabs>
          <w:tab w:val="left" w:pos="1077"/>
        </w:tabs>
        <w:ind w:left="1077" w:hanging="1077"/>
      </w:pPr>
      <w:rPr>
        <w:rFonts w:hint="default"/>
        <w:b/>
      </w:rPr>
    </w:lvl>
    <w:lvl w:ilvl="3" w:tentative="0">
      <w:start w:val="1"/>
      <w:numFmt w:val="decimal"/>
      <w:pStyle w:val="5"/>
      <w:lvlText w:val="%1.%2.%3.%4."/>
      <w:lvlJc w:val="left"/>
      <w:pPr>
        <w:tabs>
          <w:tab w:val="left" w:pos="2155"/>
        </w:tabs>
        <w:ind w:left="2155" w:hanging="1075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2575"/>
        </w:tabs>
        <w:ind w:left="2213" w:hanging="107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abstractNum w:abstractNumId="1">
    <w:nsid w:val="4015270E"/>
    <w:multiLevelType w:val="multilevel"/>
    <w:tmpl w:val="4015270E"/>
    <w:lvl w:ilvl="0" w:tentative="0">
      <w:start w:val="1"/>
      <w:numFmt w:val="bullet"/>
      <w:lvlText w:val=""/>
      <w:lvlPicBulletId w:val="1"/>
      <w:lvlJc w:val="left"/>
      <w:pPr>
        <w:ind w:left="1069" w:hanging="360"/>
      </w:pPr>
      <w:rPr>
        <w:rFonts w:hint="default" w:ascii="Symbol" w:hAnsi="Symbol"/>
      </w:rPr>
    </w:lvl>
    <w:lvl w:ilvl="1" w:tentative="0">
      <w:start w:val="1"/>
      <w:numFmt w:val="bullet"/>
      <w:pStyle w:val="102"/>
      <w:lvlText w:val=""/>
      <w:lvlJc w:val="left"/>
      <w:pPr>
        <w:ind w:left="1789" w:hanging="360"/>
      </w:pPr>
      <w:rPr>
        <w:rFonts w:hint="default" w:ascii="Symbol" w:hAnsi="Symbol"/>
      </w:rPr>
    </w:lvl>
    <w:lvl w:ilvl="2" w:tentative="0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2">
    <w:nsid w:val="408F7BE0"/>
    <w:multiLevelType w:val="multilevel"/>
    <w:tmpl w:val="408F7BE0"/>
    <w:lvl w:ilvl="0" w:tentative="0">
      <w:start w:val="1"/>
      <w:numFmt w:val="bullet"/>
      <w:pStyle w:val="89"/>
      <w:lvlText w:val=""/>
      <w:lvlPicBulletId w:val="0"/>
      <w:lvlJc w:val="left"/>
      <w:pPr>
        <w:ind w:left="1069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entative="0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38E4"/>
    <w:rsid w:val="000000C8"/>
    <w:rsid w:val="000000E2"/>
    <w:rsid w:val="000001D2"/>
    <w:rsid w:val="00001096"/>
    <w:rsid w:val="0000365A"/>
    <w:rsid w:val="00012134"/>
    <w:rsid w:val="00013744"/>
    <w:rsid w:val="00013FE7"/>
    <w:rsid w:val="000141C7"/>
    <w:rsid w:val="000170E2"/>
    <w:rsid w:val="00022414"/>
    <w:rsid w:val="00022D45"/>
    <w:rsid w:val="00022D75"/>
    <w:rsid w:val="00030788"/>
    <w:rsid w:val="00031DD4"/>
    <w:rsid w:val="0003383A"/>
    <w:rsid w:val="00036872"/>
    <w:rsid w:val="000403AD"/>
    <w:rsid w:val="000418FD"/>
    <w:rsid w:val="00044BA2"/>
    <w:rsid w:val="00053764"/>
    <w:rsid w:val="000542C1"/>
    <w:rsid w:val="0005552D"/>
    <w:rsid w:val="000568D1"/>
    <w:rsid w:val="00060579"/>
    <w:rsid w:val="000626FD"/>
    <w:rsid w:val="00063496"/>
    <w:rsid w:val="00064C82"/>
    <w:rsid w:val="00065042"/>
    <w:rsid w:val="00065A94"/>
    <w:rsid w:val="00075E35"/>
    <w:rsid w:val="000779A4"/>
    <w:rsid w:val="00082ABC"/>
    <w:rsid w:val="00082D36"/>
    <w:rsid w:val="000835F1"/>
    <w:rsid w:val="00086589"/>
    <w:rsid w:val="00092C23"/>
    <w:rsid w:val="00096496"/>
    <w:rsid w:val="000A1225"/>
    <w:rsid w:val="000A295F"/>
    <w:rsid w:val="000A36C1"/>
    <w:rsid w:val="000A5804"/>
    <w:rsid w:val="000A63A7"/>
    <w:rsid w:val="000A6F95"/>
    <w:rsid w:val="000B15AD"/>
    <w:rsid w:val="000B1D52"/>
    <w:rsid w:val="000B1F54"/>
    <w:rsid w:val="000B26FC"/>
    <w:rsid w:val="000B44AD"/>
    <w:rsid w:val="000B5D0D"/>
    <w:rsid w:val="000B5D2E"/>
    <w:rsid w:val="000B61A6"/>
    <w:rsid w:val="000C55FE"/>
    <w:rsid w:val="000C5723"/>
    <w:rsid w:val="000D017A"/>
    <w:rsid w:val="000D03CF"/>
    <w:rsid w:val="000E04C3"/>
    <w:rsid w:val="000E17FE"/>
    <w:rsid w:val="000E7526"/>
    <w:rsid w:val="000E7DC7"/>
    <w:rsid w:val="000F4491"/>
    <w:rsid w:val="00101046"/>
    <w:rsid w:val="00101196"/>
    <w:rsid w:val="00102A90"/>
    <w:rsid w:val="00104930"/>
    <w:rsid w:val="00115BE9"/>
    <w:rsid w:val="00116B0C"/>
    <w:rsid w:val="00116CC1"/>
    <w:rsid w:val="001201AC"/>
    <w:rsid w:val="00120C8F"/>
    <w:rsid w:val="00126AC6"/>
    <w:rsid w:val="00127A5B"/>
    <w:rsid w:val="001303FA"/>
    <w:rsid w:val="0013269B"/>
    <w:rsid w:val="00133BED"/>
    <w:rsid w:val="001345AD"/>
    <w:rsid w:val="001366B5"/>
    <w:rsid w:val="0013682F"/>
    <w:rsid w:val="00137356"/>
    <w:rsid w:val="00140830"/>
    <w:rsid w:val="001420F0"/>
    <w:rsid w:val="001436BD"/>
    <w:rsid w:val="001444E7"/>
    <w:rsid w:val="0014761D"/>
    <w:rsid w:val="00147A1D"/>
    <w:rsid w:val="00150BA7"/>
    <w:rsid w:val="00152ED6"/>
    <w:rsid w:val="00153386"/>
    <w:rsid w:val="00154495"/>
    <w:rsid w:val="00154B40"/>
    <w:rsid w:val="00160199"/>
    <w:rsid w:val="00160AE4"/>
    <w:rsid w:val="0016470B"/>
    <w:rsid w:val="00164AFE"/>
    <w:rsid w:val="001678F8"/>
    <w:rsid w:val="0017249B"/>
    <w:rsid w:val="00172D27"/>
    <w:rsid w:val="00175CA0"/>
    <w:rsid w:val="00175F59"/>
    <w:rsid w:val="0018132B"/>
    <w:rsid w:val="001840EF"/>
    <w:rsid w:val="001A052C"/>
    <w:rsid w:val="001A717B"/>
    <w:rsid w:val="001B405F"/>
    <w:rsid w:val="001B48C5"/>
    <w:rsid w:val="001B6128"/>
    <w:rsid w:val="001C2848"/>
    <w:rsid w:val="001C2998"/>
    <w:rsid w:val="001C3B7A"/>
    <w:rsid w:val="001C47EC"/>
    <w:rsid w:val="001C4846"/>
    <w:rsid w:val="001D6851"/>
    <w:rsid w:val="001D71E4"/>
    <w:rsid w:val="001E1AC9"/>
    <w:rsid w:val="001E7CE1"/>
    <w:rsid w:val="001F031A"/>
    <w:rsid w:val="001F1780"/>
    <w:rsid w:val="001F2DBB"/>
    <w:rsid w:val="001F3A56"/>
    <w:rsid w:val="001F3ACE"/>
    <w:rsid w:val="001F65AF"/>
    <w:rsid w:val="00200863"/>
    <w:rsid w:val="00202E38"/>
    <w:rsid w:val="00205DF5"/>
    <w:rsid w:val="002077C5"/>
    <w:rsid w:val="00211F17"/>
    <w:rsid w:val="0021341B"/>
    <w:rsid w:val="002140BB"/>
    <w:rsid w:val="0021515B"/>
    <w:rsid w:val="00216EF9"/>
    <w:rsid w:val="00222ADF"/>
    <w:rsid w:val="00224250"/>
    <w:rsid w:val="002247A3"/>
    <w:rsid w:val="00225123"/>
    <w:rsid w:val="0023637D"/>
    <w:rsid w:val="00240C9B"/>
    <w:rsid w:val="00242D82"/>
    <w:rsid w:val="0024766D"/>
    <w:rsid w:val="00247AD8"/>
    <w:rsid w:val="002519AE"/>
    <w:rsid w:val="00253F9B"/>
    <w:rsid w:val="00254188"/>
    <w:rsid w:val="00254491"/>
    <w:rsid w:val="00255123"/>
    <w:rsid w:val="00256BC9"/>
    <w:rsid w:val="002573FD"/>
    <w:rsid w:val="00261F71"/>
    <w:rsid w:val="00263AA7"/>
    <w:rsid w:val="00264BE7"/>
    <w:rsid w:val="0026656E"/>
    <w:rsid w:val="00266666"/>
    <w:rsid w:val="0026789E"/>
    <w:rsid w:val="00271003"/>
    <w:rsid w:val="00271732"/>
    <w:rsid w:val="002764DA"/>
    <w:rsid w:val="002806C3"/>
    <w:rsid w:val="00281020"/>
    <w:rsid w:val="00283137"/>
    <w:rsid w:val="002842AF"/>
    <w:rsid w:val="00287B21"/>
    <w:rsid w:val="0029011D"/>
    <w:rsid w:val="00290E91"/>
    <w:rsid w:val="002915F0"/>
    <w:rsid w:val="00291F2D"/>
    <w:rsid w:val="00292870"/>
    <w:rsid w:val="002943DD"/>
    <w:rsid w:val="0029593F"/>
    <w:rsid w:val="00297493"/>
    <w:rsid w:val="0029791A"/>
    <w:rsid w:val="00297DDC"/>
    <w:rsid w:val="002A0C08"/>
    <w:rsid w:val="002A14B9"/>
    <w:rsid w:val="002A4D3D"/>
    <w:rsid w:val="002B1140"/>
    <w:rsid w:val="002B4526"/>
    <w:rsid w:val="002B5DF3"/>
    <w:rsid w:val="002B62D7"/>
    <w:rsid w:val="002B79E6"/>
    <w:rsid w:val="002B7B07"/>
    <w:rsid w:val="002C0763"/>
    <w:rsid w:val="002C25E5"/>
    <w:rsid w:val="002C46C4"/>
    <w:rsid w:val="002C5386"/>
    <w:rsid w:val="002D15EF"/>
    <w:rsid w:val="002D4198"/>
    <w:rsid w:val="002D45B1"/>
    <w:rsid w:val="002D5992"/>
    <w:rsid w:val="002D71CF"/>
    <w:rsid w:val="002E05F3"/>
    <w:rsid w:val="002E181F"/>
    <w:rsid w:val="002E1B6A"/>
    <w:rsid w:val="002E33BA"/>
    <w:rsid w:val="002E3434"/>
    <w:rsid w:val="002E6F51"/>
    <w:rsid w:val="002F0734"/>
    <w:rsid w:val="002F16CE"/>
    <w:rsid w:val="002F178E"/>
    <w:rsid w:val="002F67E5"/>
    <w:rsid w:val="00301956"/>
    <w:rsid w:val="003038E6"/>
    <w:rsid w:val="00303CC6"/>
    <w:rsid w:val="00306A7D"/>
    <w:rsid w:val="00306D54"/>
    <w:rsid w:val="00311243"/>
    <w:rsid w:val="00311719"/>
    <w:rsid w:val="00312669"/>
    <w:rsid w:val="00312A7A"/>
    <w:rsid w:val="00313253"/>
    <w:rsid w:val="00321011"/>
    <w:rsid w:val="00323DCA"/>
    <w:rsid w:val="00324E75"/>
    <w:rsid w:val="0033454F"/>
    <w:rsid w:val="003352E0"/>
    <w:rsid w:val="003366B4"/>
    <w:rsid w:val="00341D6E"/>
    <w:rsid w:val="003438E4"/>
    <w:rsid w:val="00343D0E"/>
    <w:rsid w:val="00344B47"/>
    <w:rsid w:val="00347E04"/>
    <w:rsid w:val="00350F6D"/>
    <w:rsid w:val="00350F89"/>
    <w:rsid w:val="00354E67"/>
    <w:rsid w:val="0035593A"/>
    <w:rsid w:val="00356DF4"/>
    <w:rsid w:val="00357B43"/>
    <w:rsid w:val="00360592"/>
    <w:rsid w:val="003615ED"/>
    <w:rsid w:val="00361B21"/>
    <w:rsid w:val="00362791"/>
    <w:rsid w:val="00362FA2"/>
    <w:rsid w:val="00364777"/>
    <w:rsid w:val="00366AD1"/>
    <w:rsid w:val="003671D0"/>
    <w:rsid w:val="003676B3"/>
    <w:rsid w:val="0037494D"/>
    <w:rsid w:val="003752BA"/>
    <w:rsid w:val="00375FD8"/>
    <w:rsid w:val="00377CFF"/>
    <w:rsid w:val="00380E40"/>
    <w:rsid w:val="003862FF"/>
    <w:rsid w:val="0039144B"/>
    <w:rsid w:val="00392005"/>
    <w:rsid w:val="003A27DD"/>
    <w:rsid w:val="003A28C4"/>
    <w:rsid w:val="003A5191"/>
    <w:rsid w:val="003A5743"/>
    <w:rsid w:val="003B0A64"/>
    <w:rsid w:val="003B2B20"/>
    <w:rsid w:val="003B428D"/>
    <w:rsid w:val="003B4CB2"/>
    <w:rsid w:val="003C1471"/>
    <w:rsid w:val="003C1ED5"/>
    <w:rsid w:val="003C4069"/>
    <w:rsid w:val="003C51BB"/>
    <w:rsid w:val="003C5CFC"/>
    <w:rsid w:val="003C7B9C"/>
    <w:rsid w:val="003D3677"/>
    <w:rsid w:val="003D4CB2"/>
    <w:rsid w:val="003D67CA"/>
    <w:rsid w:val="003D7C74"/>
    <w:rsid w:val="003E1E9F"/>
    <w:rsid w:val="003E40A1"/>
    <w:rsid w:val="003E4E3C"/>
    <w:rsid w:val="003E4E59"/>
    <w:rsid w:val="003E669F"/>
    <w:rsid w:val="003F4961"/>
    <w:rsid w:val="003F577F"/>
    <w:rsid w:val="003F6981"/>
    <w:rsid w:val="003F72E7"/>
    <w:rsid w:val="004022C3"/>
    <w:rsid w:val="00406035"/>
    <w:rsid w:val="00407007"/>
    <w:rsid w:val="0040706E"/>
    <w:rsid w:val="00407CE9"/>
    <w:rsid w:val="00414670"/>
    <w:rsid w:val="00417E7E"/>
    <w:rsid w:val="00420CCC"/>
    <w:rsid w:val="00420E3D"/>
    <w:rsid w:val="00421363"/>
    <w:rsid w:val="004219D0"/>
    <w:rsid w:val="0042674C"/>
    <w:rsid w:val="004323FA"/>
    <w:rsid w:val="00432D79"/>
    <w:rsid w:val="0043331F"/>
    <w:rsid w:val="0043642D"/>
    <w:rsid w:val="00437D82"/>
    <w:rsid w:val="00437E49"/>
    <w:rsid w:val="0044135F"/>
    <w:rsid w:val="00442C23"/>
    <w:rsid w:val="00443BE1"/>
    <w:rsid w:val="00446E58"/>
    <w:rsid w:val="0045403B"/>
    <w:rsid w:val="00455D82"/>
    <w:rsid w:val="004571D8"/>
    <w:rsid w:val="004613A5"/>
    <w:rsid w:val="0046152B"/>
    <w:rsid w:val="0046227F"/>
    <w:rsid w:val="00477A3A"/>
    <w:rsid w:val="00481D39"/>
    <w:rsid w:val="004832CD"/>
    <w:rsid w:val="00484215"/>
    <w:rsid w:val="00484654"/>
    <w:rsid w:val="00485517"/>
    <w:rsid w:val="00487DD9"/>
    <w:rsid w:val="00490E82"/>
    <w:rsid w:val="00491D96"/>
    <w:rsid w:val="0049208E"/>
    <w:rsid w:val="00494709"/>
    <w:rsid w:val="00497838"/>
    <w:rsid w:val="004A0078"/>
    <w:rsid w:val="004A2F3C"/>
    <w:rsid w:val="004A3305"/>
    <w:rsid w:val="004A3864"/>
    <w:rsid w:val="004A5994"/>
    <w:rsid w:val="004A5F6D"/>
    <w:rsid w:val="004B1D11"/>
    <w:rsid w:val="004B6225"/>
    <w:rsid w:val="004B6346"/>
    <w:rsid w:val="004B7602"/>
    <w:rsid w:val="004C0091"/>
    <w:rsid w:val="004C06D9"/>
    <w:rsid w:val="004C119B"/>
    <w:rsid w:val="004C2D48"/>
    <w:rsid w:val="004C2F6A"/>
    <w:rsid w:val="004C3CE4"/>
    <w:rsid w:val="004D2C7B"/>
    <w:rsid w:val="004D4008"/>
    <w:rsid w:val="004D48B7"/>
    <w:rsid w:val="004E01C2"/>
    <w:rsid w:val="004E45A0"/>
    <w:rsid w:val="005020E5"/>
    <w:rsid w:val="00502BC5"/>
    <w:rsid w:val="00503221"/>
    <w:rsid w:val="00504C82"/>
    <w:rsid w:val="0050770E"/>
    <w:rsid w:val="00512B65"/>
    <w:rsid w:val="005172F7"/>
    <w:rsid w:val="00521D8B"/>
    <w:rsid w:val="0052651E"/>
    <w:rsid w:val="005275B0"/>
    <w:rsid w:val="00534C58"/>
    <w:rsid w:val="0053600C"/>
    <w:rsid w:val="00540CD9"/>
    <w:rsid w:val="00546E87"/>
    <w:rsid w:val="00547D5F"/>
    <w:rsid w:val="00550DBF"/>
    <w:rsid w:val="00551008"/>
    <w:rsid w:val="00552736"/>
    <w:rsid w:val="00552961"/>
    <w:rsid w:val="00554558"/>
    <w:rsid w:val="00554633"/>
    <w:rsid w:val="00556710"/>
    <w:rsid w:val="00557D13"/>
    <w:rsid w:val="005604F9"/>
    <w:rsid w:val="00562C80"/>
    <w:rsid w:val="005634B0"/>
    <w:rsid w:val="00563FB8"/>
    <w:rsid w:val="00564302"/>
    <w:rsid w:val="00564661"/>
    <w:rsid w:val="00564A51"/>
    <w:rsid w:val="00564DAB"/>
    <w:rsid w:val="00570321"/>
    <w:rsid w:val="00572E01"/>
    <w:rsid w:val="00572F66"/>
    <w:rsid w:val="005735F0"/>
    <w:rsid w:val="005741B2"/>
    <w:rsid w:val="005757DD"/>
    <w:rsid w:val="00581B27"/>
    <w:rsid w:val="0058275B"/>
    <w:rsid w:val="0058297A"/>
    <w:rsid w:val="00583180"/>
    <w:rsid w:val="005840E2"/>
    <w:rsid w:val="0058448A"/>
    <w:rsid w:val="0058586D"/>
    <w:rsid w:val="0058780D"/>
    <w:rsid w:val="005924B4"/>
    <w:rsid w:val="00595C72"/>
    <w:rsid w:val="00596F3D"/>
    <w:rsid w:val="005A0A60"/>
    <w:rsid w:val="005A4702"/>
    <w:rsid w:val="005B2568"/>
    <w:rsid w:val="005B694E"/>
    <w:rsid w:val="005B6E81"/>
    <w:rsid w:val="005B7F70"/>
    <w:rsid w:val="005C00C7"/>
    <w:rsid w:val="005C0775"/>
    <w:rsid w:val="005C1625"/>
    <w:rsid w:val="005C24D6"/>
    <w:rsid w:val="005C2EA7"/>
    <w:rsid w:val="005C5AFF"/>
    <w:rsid w:val="005C6336"/>
    <w:rsid w:val="005C789A"/>
    <w:rsid w:val="005D1EA9"/>
    <w:rsid w:val="005D3D78"/>
    <w:rsid w:val="005D45B1"/>
    <w:rsid w:val="005D5B05"/>
    <w:rsid w:val="005D6A33"/>
    <w:rsid w:val="005D79F1"/>
    <w:rsid w:val="005D7C11"/>
    <w:rsid w:val="005E29AD"/>
    <w:rsid w:val="005E2C04"/>
    <w:rsid w:val="005F3ECD"/>
    <w:rsid w:val="005F5E47"/>
    <w:rsid w:val="005F66B9"/>
    <w:rsid w:val="005F66F0"/>
    <w:rsid w:val="005F6838"/>
    <w:rsid w:val="006017F0"/>
    <w:rsid w:val="006017F4"/>
    <w:rsid w:val="00602B75"/>
    <w:rsid w:val="00606369"/>
    <w:rsid w:val="00610FEF"/>
    <w:rsid w:val="0061102B"/>
    <w:rsid w:val="00611554"/>
    <w:rsid w:val="006120BB"/>
    <w:rsid w:val="00615CCB"/>
    <w:rsid w:val="00616B92"/>
    <w:rsid w:val="0062111C"/>
    <w:rsid w:val="006213BA"/>
    <w:rsid w:val="00624D3C"/>
    <w:rsid w:val="00631A08"/>
    <w:rsid w:val="006333A2"/>
    <w:rsid w:val="0063685B"/>
    <w:rsid w:val="0064012A"/>
    <w:rsid w:val="00641B2A"/>
    <w:rsid w:val="00643446"/>
    <w:rsid w:val="006452B2"/>
    <w:rsid w:val="00645537"/>
    <w:rsid w:val="00652FCF"/>
    <w:rsid w:val="00653F96"/>
    <w:rsid w:val="0065428A"/>
    <w:rsid w:val="006544D8"/>
    <w:rsid w:val="006562A1"/>
    <w:rsid w:val="006562C6"/>
    <w:rsid w:val="006578F7"/>
    <w:rsid w:val="00657FE9"/>
    <w:rsid w:val="00661CA3"/>
    <w:rsid w:val="006637AF"/>
    <w:rsid w:val="00665423"/>
    <w:rsid w:val="00665986"/>
    <w:rsid w:val="00665E63"/>
    <w:rsid w:val="00666FE8"/>
    <w:rsid w:val="00667AC2"/>
    <w:rsid w:val="00671A03"/>
    <w:rsid w:val="006759D1"/>
    <w:rsid w:val="00675E91"/>
    <w:rsid w:val="00676BA2"/>
    <w:rsid w:val="006773E8"/>
    <w:rsid w:val="0068438D"/>
    <w:rsid w:val="006860D4"/>
    <w:rsid w:val="00687043"/>
    <w:rsid w:val="006908FC"/>
    <w:rsid w:val="00691304"/>
    <w:rsid w:val="00695644"/>
    <w:rsid w:val="00696A1C"/>
    <w:rsid w:val="00697792"/>
    <w:rsid w:val="006A0405"/>
    <w:rsid w:val="006A111D"/>
    <w:rsid w:val="006A5CD4"/>
    <w:rsid w:val="006B2335"/>
    <w:rsid w:val="006B7FBE"/>
    <w:rsid w:val="006C073B"/>
    <w:rsid w:val="006C19F0"/>
    <w:rsid w:val="006C3353"/>
    <w:rsid w:val="006C3B51"/>
    <w:rsid w:val="006C77B9"/>
    <w:rsid w:val="006D095D"/>
    <w:rsid w:val="006D2699"/>
    <w:rsid w:val="006D2AD1"/>
    <w:rsid w:val="006D2C69"/>
    <w:rsid w:val="006D7CB0"/>
    <w:rsid w:val="006D7EE5"/>
    <w:rsid w:val="006E0A97"/>
    <w:rsid w:val="006E26E3"/>
    <w:rsid w:val="006E73B7"/>
    <w:rsid w:val="006F0B81"/>
    <w:rsid w:val="006F196D"/>
    <w:rsid w:val="006F685D"/>
    <w:rsid w:val="006F749C"/>
    <w:rsid w:val="007044F1"/>
    <w:rsid w:val="00705EBD"/>
    <w:rsid w:val="0071018D"/>
    <w:rsid w:val="0071191E"/>
    <w:rsid w:val="007127CF"/>
    <w:rsid w:val="00716B21"/>
    <w:rsid w:val="0072003E"/>
    <w:rsid w:val="00720FBE"/>
    <w:rsid w:val="007253ED"/>
    <w:rsid w:val="0072705F"/>
    <w:rsid w:val="00727E31"/>
    <w:rsid w:val="007301D6"/>
    <w:rsid w:val="007326FD"/>
    <w:rsid w:val="00735233"/>
    <w:rsid w:val="00736808"/>
    <w:rsid w:val="007400CD"/>
    <w:rsid w:val="00742C0D"/>
    <w:rsid w:val="007447A4"/>
    <w:rsid w:val="007504A7"/>
    <w:rsid w:val="00752511"/>
    <w:rsid w:val="00755A8F"/>
    <w:rsid w:val="007567E5"/>
    <w:rsid w:val="0075723F"/>
    <w:rsid w:val="007577D1"/>
    <w:rsid w:val="00763713"/>
    <w:rsid w:val="00764816"/>
    <w:rsid w:val="00764CC7"/>
    <w:rsid w:val="007723AC"/>
    <w:rsid w:val="0077254A"/>
    <w:rsid w:val="00773302"/>
    <w:rsid w:val="00781B35"/>
    <w:rsid w:val="00781B4A"/>
    <w:rsid w:val="00783008"/>
    <w:rsid w:val="00784975"/>
    <w:rsid w:val="0079147D"/>
    <w:rsid w:val="007A09D1"/>
    <w:rsid w:val="007A21BA"/>
    <w:rsid w:val="007A7744"/>
    <w:rsid w:val="007B0DEE"/>
    <w:rsid w:val="007B30B3"/>
    <w:rsid w:val="007B590C"/>
    <w:rsid w:val="007B5F79"/>
    <w:rsid w:val="007B6FBD"/>
    <w:rsid w:val="007B7877"/>
    <w:rsid w:val="007B7B4E"/>
    <w:rsid w:val="007C00E7"/>
    <w:rsid w:val="007C11D2"/>
    <w:rsid w:val="007C1299"/>
    <w:rsid w:val="007C154C"/>
    <w:rsid w:val="007C23E3"/>
    <w:rsid w:val="007C38CD"/>
    <w:rsid w:val="007C3B89"/>
    <w:rsid w:val="007C419D"/>
    <w:rsid w:val="007C68C8"/>
    <w:rsid w:val="007D2C88"/>
    <w:rsid w:val="007D47E9"/>
    <w:rsid w:val="007D6658"/>
    <w:rsid w:val="007D6A0D"/>
    <w:rsid w:val="007E020B"/>
    <w:rsid w:val="007E33F2"/>
    <w:rsid w:val="007E4C98"/>
    <w:rsid w:val="007E565D"/>
    <w:rsid w:val="007F21ED"/>
    <w:rsid w:val="007F2710"/>
    <w:rsid w:val="007F2FE0"/>
    <w:rsid w:val="007F3EBF"/>
    <w:rsid w:val="007F5EB5"/>
    <w:rsid w:val="00800AE7"/>
    <w:rsid w:val="00802718"/>
    <w:rsid w:val="0080730C"/>
    <w:rsid w:val="00811CAB"/>
    <w:rsid w:val="00812C9E"/>
    <w:rsid w:val="00813682"/>
    <w:rsid w:val="00816596"/>
    <w:rsid w:val="008222E2"/>
    <w:rsid w:val="00827D12"/>
    <w:rsid w:val="00830772"/>
    <w:rsid w:val="00830E11"/>
    <w:rsid w:val="00836D73"/>
    <w:rsid w:val="0083704A"/>
    <w:rsid w:val="008370BF"/>
    <w:rsid w:val="008409D0"/>
    <w:rsid w:val="008410DF"/>
    <w:rsid w:val="008438B4"/>
    <w:rsid w:val="00843A4B"/>
    <w:rsid w:val="00847A51"/>
    <w:rsid w:val="008500FD"/>
    <w:rsid w:val="00853751"/>
    <w:rsid w:val="00853879"/>
    <w:rsid w:val="008564A7"/>
    <w:rsid w:val="00856C0B"/>
    <w:rsid w:val="00863290"/>
    <w:rsid w:val="008633C6"/>
    <w:rsid w:val="00864B09"/>
    <w:rsid w:val="008665EA"/>
    <w:rsid w:val="00866816"/>
    <w:rsid w:val="00867725"/>
    <w:rsid w:val="00867CA8"/>
    <w:rsid w:val="008732A4"/>
    <w:rsid w:val="0087496B"/>
    <w:rsid w:val="008755B1"/>
    <w:rsid w:val="00883C89"/>
    <w:rsid w:val="0089715C"/>
    <w:rsid w:val="008A4BC3"/>
    <w:rsid w:val="008A5D84"/>
    <w:rsid w:val="008A7A8F"/>
    <w:rsid w:val="008B011E"/>
    <w:rsid w:val="008B0146"/>
    <w:rsid w:val="008B19B3"/>
    <w:rsid w:val="008B1FDD"/>
    <w:rsid w:val="008B2E48"/>
    <w:rsid w:val="008B5A1E"/>
    <w:rsid w:val="008C11F4"/>
    <w:rsid w:val="008C1D1D"/>
    <w:rsid w:val="008C365B"/>
    <w:rsid w:val="008C4997"/>
    <w:rsid w:val="008C4ACF"/>
    <w:rsid w:val="008C4CA4"/>
    <w:rsid w:val="008C61C9"/>
    <w:rsid w:val="008C7909"/>
    <w:rsid w:val="008D0699"/>
    <w:rsid w:val="008D1BF6"/>
    <w:rsid w:val="008D2530"/>
    <w:rsid w:val="008D2580"/>
    <w:rsid w:val="008D54E5"/>
    <w:rsid w:val="008D70B0"/>
    <w:rsid w:val="008D74E2"/>
    <w:rsid w:val="008E08D2"/>
    <w:rsid w:val="008E4C6A"/>
    <w:rsid w:val="008F0F31"/>
    <w:rsid w:val="008F2DAF"/>
    <w:rsid w:val="008F3C2C"/>
    <w:rsid w:val="008F3D6E"/>
    <w:rsid w:val="008F5557"/>
    <w:rsid w:val="008F5FCD"/>
    <w:rsid w:val="008F69A2"/>
    <w:rsid w:val="00900A0A"/>
    <w:rsid w:val="00901D8E"/>
    <w:rsid w:val="0090248E"/>
    <w:rsid w:val="00903CB2"/>
    <w:rsid w:val="00904AA2"/>
    <w:rsid w:val="009052E4"/>
    <w:rsid w:val="00906AD0"/>
    <w:rsid w:val="00910272"/>
    <w:rsid w:val="00910DEA"/>
    <w:rsid w:val="009121A8"/>
    <w:rsid w:val="00915603"/>
    <w:rsid w:val="009220D3"/>
    <w:rsid w:val="009228D3"/>
    <w:rsid w:val="00923701"/>
    <w:rsid w:val="0092449B"/>
    <w:rsid w:val="00926FF6"/>
    <w:rsid w:val="009324ED"/>
    <w:rsid w:val="00934A00"/>
    <w:rsid w:val="009353F3"/>
    <w:rsid w:val="0094041E"/>
    <w:rsid w:val="0094136F"/>
    <w:rsid w:val="00942580"/>
    <w:rsid w:val="00946F85"/>
    <w:rsid w:val="009478C3"/>
    <w:rsid w:val="009504BC"/>
    <w:rsid w:val="009521D5"/>
    <w:rsid w:val="0095321C"/>
    <w:rsid w:val="009544BB"/>
    <w:rsid w:val="009546FD"/>
    <w:rsid w:val="0095572E"/>
    <w:rsid w:val="00955E2D"/>
    <w:rsid w:val="0095618F"/>
    <w:rsid w:val="00961524"/>
    <w:rsid w:val="00965994"/>
    <w:rsid w:val="00967D60"/>
    <w:rsid w:val="00971101"/>
    <w:rsid w:val="009736DC"/>
    <w:rsid w:val="00980CE2"/>
    <w:rsid w:val="009839F6"/>
    <w:rsid w:val="009859B8"/>
    <w:rsid w:val="00985A72"/>
    <w:rsid w:val="00985FB6"/>
    <w:rsid w:val="009934D5"/>
    <w:rsid w:val="0099369F"/>
    <w:rsid w:val="00993C85"/>
    <w:rsid w:val="0099400E"/>
    <w:rsid w:val="00994897"/>
    <w:rsid w:val="00996533"/>
    <w:rsid w:val="009A0193"/>
    <w:rsid w:val="009A25C4"/>
    <w:rsid w:val="009A68B1"/>
    <w:rsid w:val="009A6A66"/>
    <w:rsid w:val="009A763E"/>
    <w:rsid w:val="009B1B9A"/>
    <w:rsid w:val="009B2224"/>
    <w:rsid w:val="009B3F51"/>
    <w:rsid w:val="009B5C8E"/>
    <w:rsid w:val="009B630A"/>
    <w:rsid w:val="009B779F"/>
    <w:rsid w:val="009C0799"/>
    <w:rsid w:val="009C09A4"/>
    <w:rsid w:val="009C16D5"/>
    <w:rsid w:val="009C4877"/>
    <w:rsid w:val="009D03B1"/>
    <w:rsid w:val="009D31E2"/>
    <w:rsid w:val="009E1AC9"/>
    <w:rsid w:val="009E6454"/>
    <w:rsid w:val="009E6D1B"/>
    <w:rsid w:val="009F0674"/>
    <w:rsid w:val="009F4F03"/>
    <w:rsid w:val="009F64AD"/>
    <w:rsid w:val="00A01A2E"/>
    <w:rsid w:val="00A1023C"/>
    <w:rsid w:val="00A10DCA"/>
    <w:rsid w:val="00A12DF8"/>
    <w:rsid w:val="00A13177"/>
    <w:rsid w:val="00A16D0D"/>
    <w:rsid w:val="00A207E8"/>
    <w:rsid w:val="00A20984"/>
    <w:rsid w:val="00A25565"/>
    <w:rsid w:val="00A31B22"/>
    <w:rsid w:val="00A3588D"/>
    <w:rsid w:val="00A416EE"/>
    <w:rsid w:val="00A43AE3"/>
    <w:rsid w:val="00A460D2"/>
    <w:rsid w:val="00A46945"/>
    <w:rsid w:val="00A47497"/>
    <w:rsid w:val="00A56803"/>
    <w:rsid w:val="00A60D6D"/>
    <w:rsid w:val="00A61919"/>
    <w:rsid w:val="00A63449"/>
    <w:rsid w:val="00A63526"/>
    <w:rsid w:val="00A67A82"/>
    <w:rsid w:val="00A70FD3"/>
    <w:rsid w:val="00A73CAB"/>
    <w:rsid w:val="00A74614"/>
    <w:rsid w:val="00A7480A"/>
    <w:rsid w:val="00A80DDD"/>
    <w:rsid w:val="00A8256C"/>
    <w:rsid w:val="00A8399A"/>
    <w:rsid w:val="00A86AAA"/>
    <w:rsid w:val="00A86B21"/>
    <w:rsid w:val="00A927F5"/>
    <w:rsid w:val="00A94333"/>
    <w:rsid w:val="00A94EB6"/>
    <w:rsid w:val="00AA0284"/>
    <w:rsid w:val="00AA03B0"/>
    <w:rsid w:val="00AA1E14"/>
    <w:rsid w:val="00AB2E9D"/>
    <w:rsid w:val="00AB3BCC"/>
    <w:rsid w:val="00AC0A1D"/>
    <w:rsid w:val="00AC112E"/>
    <w:rsid w:val="00AC21AC"/>
    <w:rsid w:val="00AC37DF"/>
    <w:rsid w:val="00AC7396"/>
    <w:rsid w:val="00AD1D65"/>
    <w:rsid w:val="00AD3193"/>
    <w:rsid w:val="00AD3D91"/>
    <w:rsid w:val="00AE00FF"/>
    <w:rsid w:val="00AE0495"/>
    <w:rsid w:val="00AE07B1"/>
    <w:rsid w:val="00AE2062"/>
    <w:rsid w:val="00AE357D"/>
    <w:rsid w:val="00AE6A1E"/>
    <w:rsid w:val="00AE6B89"/>
    <w:rsid w:val="00AE6E3C"/>
    <w:rsid w:val="00AF3C3F"/>
    <w:rsid w:val="00AF5A09"/>
    <w:rsid w:val="00B0031E"/>
    <w:rsid w:val="00B01397"/>
    <w:rsid w:val="00B02CA5"/>
    <w:rsid w:val="00B0365D"/>
    <w:rsid w:val="00B05EE6"/>
    <w:rsid w:val="00B07A55"/>
    <w:rsid w:val="00B12B42"/>
    <w:rsid w:val="00B12EFD"/>
    <w:rsid w:val="00B132BC"/>
    <w:rsid w:val="00B1381B"/>
    <w:rsid w:val="00B13A65"/>
    <w:rsid w:val="00B14E20"/>
    <w:rsid w:val="00B15886"/>
    <w:rsid w:val="00B20477"/>
    <w:rsid w:val="00B23DBA"/>
    <w:rsid w:val="00B24DB9"/>
    <w:rsid w:val="00B271D1"/>
    <w:rsid w:val="00B3078F"/>
    <w:rsid w:val="00B309F5"/>
    <w:rsid w:val="00B32F39"/>
    <w:rsid w:val="00B34193"/>
    <w:rsid w:val="00B35425"/>
    <w:rsid w:val="00B36CD1"/>
    <w:rsid w:val="00B4307C"/>
    <w:rsid w:val="00B43243"/>
    <w:rsid w:val="00B43B94"/>
    <w:rsid w:val="00B44572"/>
    <w:rsid w:val="00B5186F"/>
    <w:rsid w:val="00B55CEF"/>
    <w:rsid w:val="00B6029D"/>
    <w:rsid w:val="00B6130B"/>
    <w:rsid w:val="00B61DC9"/>
    <w:rsid w:val="00B71084"/>
    <w:rsid w:val="00B738D8"/>
    <w:rsid w:val="00B74BDC"/>
    <w:rsid w:val="00B75496"/>
    <w:rsid w:val="00B757E9"/>
    <w:rsid w:val="00B759C5"/>
    <w:rsid w:val="00B7657B"/>
    <w:rsid w:val="00B77610"/>
    <w:rsid w:val="00B77B7D"/>
    <w:rsid w:val="00B8284D"/>
    <w:rsid w:val="00B82A38"/>
    <w:rsid w:val="00B84DB8"/>
    <w:rsid w:val="00B908A6"/>
    <w:rsid w:val="00B912FA"/>
    <w:rsid w:val="00B92E9A"/>
    <w:rsid w:val="00B932FB"/>
    <w:rsid w:val="00B97D75"/>
    <w:rsid w:val="00BA5789"/>
    <w:rsid w:val="00BB0209"/>
    <w:rsid w:val="00BB12B1"/>
    <w:rsid w:val="00BB24ED"/>
    <w:rsid w:val="00BB292C"/>
    <w:rsid w:val="00BB4730"/>
    <w:rsid w:val="00BB5517"/>
    <w:rsid w:val="00BB6C17"/>
    <w:rsid w:val="00BB7DB3"/>
    <w:rsid w:val="00BC501F"/>
    <w:rsid w:val="00BC62F6"/>
    <w:rsid w:val="00BC7EA3"/>
    <w:rsid w:val="00BD19BD"/>
    <w:rsid w:val="00BD4B12"/>
    <w:rsid w:val="00BD6EB8"/>
    <w:rsid w:val="00BD7791"/>
    <w:rsid w:val="00BE19E9"/>
    <w:rsid w:val="00BE3A22"/>
    <w:rsid w:val="00BE4891"/>
    <w:rsid w:val="00BE62A5"/>
    <w:rsid w:val="00BE6AE0"/>
    <w:rsid w:val="00BE7248"/>
    <w:rsid w:val="00BF100C"/>
    <w:rsid w:val="00BF2DE3"/>
    <w:rsid w:val="00BF2E6D"/>
    <w:rsid w:val="00BF31DC"/>
    <w:rsid w:val="00BF476A"/>
    <w:rsid w:val="00BF74AB"/>
    <w:rsid w:val="00C03BF8"/>
    <w:rsid w:val="00C04A7A"/>
    <w:rsid w:val="00C075FB"/>
    <w:rsid w:val="00C11C73"/>
    <w:rsid w:val="00C120A6"/>
    <w:rsid w:val="00C1545C"/>
    <w:rsid w:val="00C16494"/>
    <w:rsid w:val="00C17DAE"/>
    <w:rsid w:val="00C20F11"/>
    <w:rsid w:val="00C242E1"/>
    <w:rsid w:val="00C24974"/>
    <w:rsid w:val="00C25770"/>
    <w:rsid w:val="00C26432"/>
    <w:rsid w:val="00C271BE"/>
    <w:rsid w:val="00C30ACF"/>
    <w:rsid w:val="00C3109F"/>
    <w:rsid w:val="00C31646"/>
    <w:rsid w:val="00C35CCB"/>
    <w:rsid w:val="00C35F9F"/>
    <w:rsid w:val="00C36F82"/>
    <w:rsid w:val="00C3762D"/>
    <w:rsid w:val="00C45A5A"/>
    <w:rsid w:val="00C469CC"/>
    <w:rsid w:val="00C50537"/>
    <w:rsid w:val="00C51211"/>
    <w:rsid w:val="00C519F9"/>
    <w:rsid w:val="00C52F55"/>
    <w:rsid w:val="00C539AF"/>
    <w:rsid w:val="00C54835"/>
    <w:rsid w:val="00C57934"/>
    <w:rsid w:val="00C62DF3"/>
    <w:rsid w:val="00C64251"/>
    <w:rsid w:val="00C7003C"/>
    <w:rsid w:val="00C718F3"/>
    <w:rsid w:val="00C737FC"/>
    <w:rsid w:val="00C74F7E"/>
    <w:rsid w:val="00C76762"/>
    <w:rsid w:val="00C77C74"/>
    <w:rsid w:val="00C812A9"/>
    <w:rsid w:val="00C82B54"/>
    <w:rsid w:val="00C82BBF"/>
    <w:rsid w:val="00C82FB5"/>
    <w:rsid w:val="00C87FF4"/>
    <w:rsid w:val="00C90951"/>
    <w:rsid w:val="00C9176D"/>
    <w:rsid w:val="00C96B19"/>
    <w:rsid w:val="00C97431"/>
    <w:rsid w:val="00CA039A"/>
    <w:rsid w:val="00CA1E5F"/>
    <w:rsid w:val="00CA4C76"/>
    <w:rsid w:val="00CA7493"/>
    <w:rsid w:val="00CB0BA6"/>
    <w:rsid w:val="00CB1812"/>
    <w:rsid w:val="00CB1923"/>
    <w:rsid w:val="00CB3E70"/>
    <w:rsid w:val="00CB794C"/>
    <w:rsid w:val="00CC0926"/>
    <w:rsid w:val="00CC3B94"/>
    <w:rsid w:val="00CC73A4"/>
    <w:rsid w:val="00CD0CB0"/>
    <w:rsid w:val="00CD1238"/>
    <w:rsid w:val="00CD2871"/>
    <w:rsid w:val="00CD289A"/>
    <w:rsid w:val="00CD455E"/>
    <w:rsid w:val="00CE1E55"/>
    <w:rsid w:val="00CF1F14"/>
    <w:rsid w:val="00CF2839"/>
    <w:rsid w:val="00CF5281"/>
    <w:rsid w:val="00CF7602"/>
    <w:rsid w:val="00D004FA"/>
    <w:rsid w:val="00D0120A"/>
    <w:rsid w:val="00D01778"/>
    <w:rsid w:val="00D0281E"/>
    <w:rsid w:val="00D03097"/>
    <w:rsid w:val="00D062D6"/>
    <w:rsid w:val="00D0668A"/>
    <w:rsid w:val="00D0738A"/>
    <w:rsid w:val="00D13A9A"/>
    <w:rsid w:val="00D167DF"/>
    <w:rsid w:val="00D1720A"/>
    <w:rsid w:val="00D23981"/>
    <w:rsid w:val="00D23D64"/>
    <w:rsid w:val="00D243A4"/>
    <w:rsid w:val="00D265C0"/>
    <w:rsid w:val="00D26B77"/>
    <w:rsid w:val="00D31C14"/>
    <w:rsid w:val="00D32277"/>
    <w:rsid w:val="00D32744"/>
    <w:rsid w:val="00D335E8"/>
    <w:rsid w:val="00D34B8B"/>
    <w:rsid w:val="00D359F9"/>
    <w:rsid w:val="00D37CFB"/>
    <w:rsid w:val="00D41007"/>
    <w:rsid w:val="00D41453"/>
    <w:rsid w:val="00D46E92"/>
    <w:rsid w:val="00D47BF7"/>
    <w:rsid w:val="00D47CE4"/>
    <w:rsid w:val="00D532D7"/>
    <w:rsid w:val="00D573FF"/>
    <w:rsid w:val="00D57F5F"/>
    <w:rsid w:val="00D607AB"/>
    <w:rsid w:val="00D63F9E"/>
    <w:rsid w:val="00D65B7D"/>
    <w:rsid w:val="00D705C5"/>
    <w:rsid w:val="00D706F0"/>
    <w:rsid w:val="00D70EE7"/>
    <w:rsid w:val="00D7132A"/>
    <w:rsid w:val="00D71CBA"/>
    <w:rsid w:val="00D74808"/>
    <w:rsid w:val="00D76A47"/>
    <w:rsid w:val="00D76FA9"/>
    <w:rsid w:val="00D831A7"/>
    <w:rsid w:val="00D83204"/>
    <w:rsid w:val="00D83321"/>
    <w:rsid w:val="00D847A8"/>
    <w:rsid w:val="00D9106F"/>
    <w:rsid w:val="00D924E8"/>
    <w:rsid w:val="00D938ED"/>
    <w:rsid w:val="00D93B4C"/>
    <w:rsid w:val="00D95587"/>
    <w:rsid w:val="00DA4389"/>
    <w:rsid w:val="00DA7742"/>
    <w:rsid w:val="00DB0141"/>
    <w:rsid w:val="00DB2BDB"/>
    <w:rsid w:val="00DB35B7"/>
    <w:rsid w:val="00DB432B"/>
    <w:rsid w:val="00DB5F1E"/>
    <w:rsid w:val="00DC40B7"/>
    <w:rsid w:val="00DC4E5B"/>
    <w:rsid w:val="00DC6C63"/>
    <w:rsid w:val="00DD0229"/>
    <w:rsid w:val="00DD06C9"/>
    <w:rsid w:val="00DD2604"/>
    <w:rsid w:val="00DD512F"/>
    <w:rsid w:val="00DD56AD"/>
    <w:rsid w:val="00DD7CF6"/>
    <w:rsid w:val="00DE002F"/>
    <w:rsid w:val="00DE038B"/>
    <w:rsid w:val="00DE3F7B"/>
    <w:rsid w:val="00DE551A"/>
    <w:rsid w:val="00DF01EF"/>
    <w:rsid w:val="00DF09ED"/>
    <w:rsid w:val="00DF0F7D"/>
    <w:rsid w:val="00DF31D5"/>
    <w:rsid w:val="00DF4456"/>
    <w:rsid w:val="00DF5657"/>
    <w:rsid w:val="00DF5E3F"/>
    <w:rsid w:val="00DF60B4"/>
    <w:rsid w:val="00E0433C"/>
    <w:rsid w:val="00E07A4A"/>
    <w:rsid w:val="00E104FD"/>
    <w:rsid w:val="00E10A8C"/>
    <w:rsid w:val="00E12031"/>
    <w:rsid w:val="00E170E1"/>
    <w:rsid w:val="00E17738"/>
    <w:rsid w:val="00E206EE"/>
    <w:rsid w:val="00E23C65"/>
    <w:rsid w:val="00E2744C"/>
    <w:rsid w:val="00E274D1"/>
    <w:rsid w:val="00E27E90"/>
    <w:rsid w:val="00E301F1"/>
    <w:rsid w:val="00E31AA0"/>
    <w:rsid w:val="00E33148"/>
    <w:rsid w:val="00E3506E"/>
    <w:rsid w:val="00E35669"/>
    <w:rsid w:val="00E370AD"/>
    <w:rsid w:val="00E41D95"/>
    <w:rsid w:val="00E43F4E"/>
    <w:rsid w:val="00E45EE5"/>
    <w:rsid w:val="00E46481"/>
    <w:rsid w:val="00E4704D"/>
    <w:rsid w:val="00E47896"/>
    <w:rsid w:val="00E51C06"/>
    <w:rsid w:val="00E52162"/>
    <w:rsid w:val="00E57E12"/>
    <w:rsid w:val="00E61E70"/>
    <w:rsid w:val="00E61EF5"/>
    <w:rsid w:val="00E629D2"/>
    <w:rsid w:val="00E64C13"/>
    <w:rsid w:val="00E65BC4"/>
    <w:rsid w:val="00E65C6D"/>
    <w:rsid w:val="00E66095"/>
    <w:rsid w:val="00E703EA"/>
    <w:rsid w:val="00E7134C"/>
    <w:rsid w:val="00E758DC"/>
    <w:rsid w:val="00E76461"/>
    <w:rsid w:val="00E82DEE"/>
    <w:rsid w:val="00E91DBE"/>
    <w:rsid w:val="00E93459"/>
    <w:rsid w:val="00E942CF"/>
    <w:rsid w:val="00E9602B"/>
    <w:rsid w:val="00EA0760"/>
    <w:rsid w:val="00EA166E"/>
    <w:rsid w:val="00EA26F0"/>
    <w:rsid w:val="00EB2D42"/>
    <w:rsid w:val="00EB2E90"/>
    <w:rsid w:val="00EB55F5"/>
    <w:rsid w:val="00EC0DBF"/>
    <w:rsid w:val="00EC28D6"/>
    <w:rsid w:val="00EC61B8"/>
    <w:rsid w:val="00EC6214"/>
    <w:rsid w:val="00EC66CA"/>
    <w:rsid w:val="00ED304B"/>
    <w:rsid w:val="00ED416B"/>
    <w:rsid w:val="00ED49D2"/>
    <w:rsid w:val="00ED4F98"/>
    <w:rsid w:val="00ED51DE"/>
    <w:rsid w:val="00ED5AD2"/>
    <w:rsid w:val="00ED5BAE"/>
    <w:rsid w:val="00ED5E96"/>
    <w:rsid w:val="00ED7A2A"/>
    <w:rsid w:val="00ED7D9A"/>
    <w:rsid w:val="00EE19E0"/>
    <w:rsid w:val="00EE3628"/>
    <w:rsid w:val="00EE42E4"/>
    <w:rsid w:val="00EE5D37"/>
    <w:rsid w:val="00EE6D13"/>
    <w:rsid w:val="00EE74E9"/>
    <w:rsid w:val="00EF1882"/>
    <w:rsid w:val="00EF3C97"/>
    <w:rsid w:val="00EF6541"/>
    <w:rsid w:val="00EF6C5B"/>
    <w:rsid w:val="00EF72FF"/>
    <w:rsid w:val="00EF7B0E"/>
    <w:rsid w:val="00F02D6B"/>
    <w:rsid w:val="00F04381"/>
    <w:rsid w:val="00F06472"/>
    <w:rsid w:val="00F176ED"/>
    <w:rsid w:val="00F17E6C"/>
    <w:rsid w:val="00F21D22"/>
    <w:rsid w:val="00F27ED8"/>
    <w:rsid w:val="00F306D3"/>
    <w:rsid w:val="00F3070A"/>
    <w:rsid w:val="00F3136C"/>
    <w:rsid w:val="00F339DB"/>
    <w:rsid w:val="00F33DF4"/>
    <w:rsid w:val="00F3615E"/>
    <w:rsid w:val="00F3789E"/>
    <w:rsid w:val="00F40FDD"/>
    <w:rsid w:val="00F430AC"/>
    <w:rsid w:val="00F44654"/>
    <w:rsid w:val="00F45F25"/>
    <w:rsid w:val="00F53816"/>
    <w:rsid w:val="00F569A7"/>
    <w:rsid w:val="00F619E1"/>
    <w:rsid w:val="00F642EF"/>
    <w:rsid w:val="00F6485B"/>
    <w:rsid w:val="00F65173"/>
    <w:rsid w:val="00F65617"/>
    <w:rsid w:val="00F65D22"/>
    <w:rsid w:val="00F6745C"/>
    <w:rsid w:val="00F67499"/>
    <w:rsid w:val="00F71884"/>
    <w:rsid w:val="00F73BF5"/>
    <w:rsid w:val="00F7523F"/>
    <w:rsid w:val="00F7650F"/>
    <w:rsid w:val="00F76F2B"/>
    <w:rsid w:val="00F773E2"/>
    <w:rsid w:val="00F77BD8"/>
    <w:rsid w:val="00F80415"/>
    <w:rsid w:val="00F8769A"/>
    <w:rsid w:val="00F877C1"/>
    <w:rsid w:val="00F90751"/>
    <w:rsid w:val="00F92055"/>
    <w:rsid w:val="00F92277"/>
    <w:rsid w:val="00F93114"/>
    <w:rsid w:val="00F96E75"/>
    <w:rsid w:val="00F9726E"/>
    <w:rsid w:val="00FA363F"/>
    <w:rsid w:val="00FA36FD"/>
    <w:rsid w:val="00FA3795"/>
    <w:rsid w:val="00FA5A06"/>
    <w:rsid w:val="00FA681C"/>
    <w:rsid w:val="00FB39D9"/>
    <w:rsid w:val="00FB546F"/>
    <w:rsid w:val="00FB6C42"/>
    <w:rsid w:val="00FC3210"/>
    <w:rsid w:val="00FC4E91"/>
    <w:rsid w:val="00FC5EB1"/>
    <w:rsid w:val="00FC7553"/>
    <w:rsid w:val="00FC7C0E"/>
    <w:rsid w:val="00FD15A8"/>
    <w:rsid w:val="00FD3ECF"/>
    <w:rsid w:val="00FD6D47"/>
    <w:rsid w:val="00FD794A"/>
    <w:rsid w:val="00FD7C52"/>
    <w:rsid w:val="00FE0A96"/>
    <w:rsid w:val="00FE0AD1"/>
    <w:rsid w:val="00FE367A"/>
    <w:rsid w:val="00FF13F0"/>
    <w:rsid w:val="00FF196B"/>
    <w:rsid w:val="00FF36B3"/>
    <w:rsid w:val="00FF5357"/>
    <w:rsid w:val="09656140"/>
    <w:rsid w:val="3641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0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4"/>
    <w:qFormat/>
    <w:uiPriority w:val="99"/>
    <w:pPr>
      <w:keepNext/>
      <w:numPr>
        <w:ilvl w:val="0"/>
        <w:numId w:val="1"/>
      </w:numPr>
      <w:tabs>
        <w:tab w:val="left" w:pos="851"/>
      </w:tabs>
      <w:spacing w:before="240"/>
      <w:outlineLvl w:val="0"/>
    </w:pPr>
    <w:rPr>
      <w:rFonts w:cs="TimesDL"/>
      <w:b/>
      <w:bCs/>
      <w:caps/>
      <w:kern w:val="32"/>
    </w:rPr>
  </w:style>
  <w:style w:type="paragraph" w:styleId="3">
    <w:name w:val="heading 2"/>
    <w:basedOn w:val="1"/>
    <w:next w:val="1"/>
    <w:link w:val="25"/>
    <w:autoRedefine/>
    <w:qFormat/>
    <w:uiPriority w:val="0"/>
    <w:pPr>
      <w:keepNext/>
      <w:numPr>
        <w:ilvl w:val="1"/>
        <w:numId w:val="1"/>
      </w:numPr>
      <w:spacing w:before="240" w:after="120"/>
      <w:outlineLvl w:val="1"/>
    </w:pPr>
    <w:rPr>
      <w:rFonts w:cs="TimesDL"/>
      <w:b/>
      <w:bCs/>
      <w:szCs w:val="22"/>
    </w:rPr>
  </w:style>
  <w:style w:type="paragraph" w:styleId="4">
    <w:name w:val="heading 3"/>
    <w:basedOn w:val="1"/>
    <w:next w:val="1"/>
    <w:link w:val="26"/>
    <w:qFormat/>
    <w:uiPriority w:val="99"/>
    <w:pPr>
      <w:keepNext/>
      <w:numPr>
        <w:ilvl w:val="2"/>
        <w:numId w:val="1"/>
      </w:numPr>
      <w:spacing w:before="240" w:after="120"/>
      <w:outlineLvl w:val="2"/>
    </w:pPr>
    <w:rPr>
      <w:rFonts w:cs="TimesDL"/>
      <w:b/>
      <w:bCs/>
      <w:i/>
      <w:szCs w:val="26"/>
    </w:rPr>
  </w:style>
  <w:style w:type="paragraph" w:styleId="5">
    <w:name w:val="heading 4"/>
    <w:basedOn w:val="1"/>
    <w:next w:val="1"/>
    <w:link w:val="28"/>
    <w:qFormat/>
    <w:uiPriority w:val="99"/>
    <w:pPr>
      <w:keepNext/>
      <w:numPr>
        <w:ilvl w:val="3"/>
        <w:numId w:val="1"/>
      </w:numPr>
      <w:tabs>
        <w:tab w:val="left" w:pos="851"/>
      </w:tabs>
      <w:spacing w:before="240" w:after="120"/>
      <w:outlineLvl w:val="3"/>
    </w:pPr>
    <w:rPr>
      <w:rFonts w:cs="TimesDL"/>
      <w:bCs/>
      <w:i/>
      <w:szCs w:val="28"/>
    </w:rPr>
  </w:style>
  <w:style w:type="paragraph" w:styleId="6">
    <w:name w:val="heading 5"/>
    <w:basedOn w:val="1"/>
    <w:next w:val="1"/>
    <w:link w:val="30"/>
    <w:qFormat/>
    <w:uiPriority w:val="0"/>
    <w:pPr>
      <w:keepNext/>
      <w:numPr>
        <w:ilvl w:val="4"/>
        <w:numId w:val="1"/>
      </w:numPr>
      <w:tabs>
        <w:tab w:val="left" w:pos="2410"/>
      </w:tabs>
      <w:spacing w:before="180"/>
      <w:outlineLvl w:val="4"/>
    </w:pPr>
    <w:rPr>
      <w:rFonts w:cs="TimesDL"/>
      <w:b/>
      <w:bCs/>
      <w:i/>
      <w:iCs/>
      <w:szCs w:val="26"/>
    </w:rPr>
  </w:style>
  <w:style w:type="paragraph" w:styleId="7">
    <w:name w:val="heading 6"/>
    <w:basedOn w:val="6"/>
    <w:next w:val="8"/>
    <w:link w:val="32"/>
    <w:qFormat/>
    <w:uiPriority w:val="99"/>
    <w:pPr>
      <w:numPr>
        <w:ilvl w:val="0"/>
        <w:numId w:val="0"/>
      </w:numPr>
      <w:tabs>
        <w:tab w:val="left" w:pos="2520"/>
      </w:tabs>
      <w:ind w:left="2520" w:hanging="1440"/>
      <w:outlineLvl w:val="5"/>
    </w:pPr>
    <w:rPr>
      <w:rFonts w:ascii="TimesDL" w:hAnsi="TimesDL" w:cs="Times New Roman"/>
      <w:bCs w:val="0"/>
      <w:i w:val="0"/>
      <w:iCs w:val="0"/>
      <w:szCs w:val="20"/>
      <w:lang w:val="en-US" w:eastAsia="en-US"/>
    </w:rPr>
  </w:style>
  <w:style w:type="paragraph" w:styleId="9">
    <w:name w:val="heading 7"/>
    <w:basedOn w:val="7"/>
    <w:next w:val="8"/>
    <w:link w:val="34"/>
    <w:qFormat/>
    <w:uiPriority w:val="99"/>
    <w:pPr>
      <w:outlineLvl w:val="6"/>
    </w:pPr>
  </w:style>
  <w:style w:type="paragraph" w:styleId="10">
    <w:name w:val="heading 8"/>
    <w:basedOn w:val="1"/>
    <w:next w:val="1"/>
    <w:link w:val="35"/>
    <w:qFormat/>
    <w:uiPriority w:val="99"/>
    <w:pPr>
      <w:tabs>
        <w:tab w:val="left" w:pos="4320"/>
      </w:tabs>
      <w:spacing w:before="240"/>
      <w:ind w:left="4320" w:hanging="1440"/>
      <w:outlineLvl w:val="7"/>
    </w:pPr>
    <w:rPr>
      <w:i/>
      <w:sz w:val="22"/>
      <w:lang w:val="en-US" w:eastAsia="en-US"/>
    </w:rPr>
  </w:style>
  <w:style w:type="paragraph" w:styleId="11">
    <w:name w:val="heading 9"/>
    <w:basedOn w:val="1"/>
    <w:next w:val="1"/>
    <w:link w:val="36"/>
    <w:qFormat/>
    <w:uiPriority w:val="99"/>
    <w:pPr>
      <w:tabs>
        <w:tab w:val="left" w:pos="4464"/>
      </w:tabs>
      <w:spacing w:before="240"/>
      <w:ind w:left="4464" w:hanging="1584"/>
      <w:outlineLvl w:val="8"/>
    </w:pPr>
    <w:rPr>
      <w:sz w:val="22"/>
      <w:lang w:val="en-US" w:eastAsia="en-US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 2"/>
    <w:basedOn w:val="1"/>
    <w:link w:val="33"/>
    <w:semiHidden/>
    <w:unhideWhenUsed/>
    <w:uiPriority w:val="99"/>
    <w:pPr>
      <w:spacing w:after="120" w:line="480" w:lineRule="auto"/>
    </w:pPr>
  </w:style>
  <w:style w:type="character" w:styleId="14">
    <w:name w:val="FollowedHyperlink"/>
    <w:unhideWhenUsed/>
    <w:qFormat/>
    <w:uiPriority w:val="99"/>
    <w:rPr>
      <w:color w:val="954F72"/>
      <w:u w:val="single"/>
    </w:rPr>
  </w:style>
  <w:style w:type="character" w:styleId="15">
    <w:name w:val="Emphasis"/>
    <w:basedOn w:val="12"/>
    <w:qFormat/>
    <w:uiPriority w:val="20"/>
    <w:rPr>
      <w:i/>
      <w:iCs/>
      <w:sz w:val="24"/>
      <w:szCs w:val="24"/>
      <w:shd w:val="clear" w:color="auto" w:fill="auto"/>
      <w:vertAlign w:val="baseline"/>
    </w:rPr>
  </w:style>
  <w:style w:type="character" w:styleId="16">
    <w:name w:val="Hyperlink"/>
    <w:basedOn w:val="12"/>
    <w:unhideWhenUsed/>
    <w:uiPriority w:val="99"/>
    <w:rPr>
      <w:color w:val="0000FF" w:themeColor="hyperlink"/>
      <w:u w:val="single"/>
    </w:rPr>
  </w:style>
  <w:style w:type="character" w:styleId="17">
    <w:name w:val="Strong"/>
    <w:basedOn w:val="12"/>
    <w:qFormat/>
    <w:uiPriority w:val="22"/>
    <w:rPr>
      <w:b/>
      <w:bCs/>
    </w:rPr>
  </w:style>
  <w:style w:type="paragraph" w:styleId="18">
    <w:name w:val="caption"/>
    <w:basedOn w:val="1"/>
    <w:next w:val="1"/>
    <w:link w:val="37"/>
    <w:qFormat/>
    <w:uiPriority w:val="0"/>
    <w:pPr>
      <w:keepNext/>
      <w:spacing w:before="120"/>
      <w:ind w:left="851"/>
    </w:pPr>
    <w:rPr>
      <w:kern w:val="16"/>
    </w:rPr>
  </w:style>
  <w:style w:type="paragraph" w:styleId="19">
    <w:name w:val="header"/>
    <w:basedOn w:val="1"/>
    <w:link w:val="94"/>
    <w:semiHidden/>
    <w:unhideWhenUsed/>
    <w:uiPriority w:val="99"/>
    <w:pPr>
      <w:tabs>
        <w:tab w:val="center" w:pos="4677"/>
        <w:tab w:val="right" w:pos="9355"/>
      </w:tabs>
    </w:pPr>
  </w:style>
  <w:style w:type="paragraph" w:styleId="20">
    <w:name w:val="Body Text"/>
    <w:basedOn w:val="1"/>
    <w:link w:val="39"/>
    <w:qFormat/>
    <w:uiPriority w:val="0"/>
  </w:style>
  <w:style w:type="paragraph" w:styleId="21">
    <w:name w:val="toc 1"/>
    <w:basedOn w:val="1"/>
    <w:next w:val="1"/>
    <w:autoRedefine/>
    <w:qFormat/>
    <w:uiPriority w:val="39"/>
    <w:pPr>
      <w:tabs>
        <w:tab w:val="right" w:leader="dot" w:pos="9639"/>
      </w:tabs>
      <w:spacing w:before="240"/>
      <w:ind w:left="567" w:right="-2" w:hanging="567"/>
    </w:pPr>
    <w:rPr>
      <w:b/>
      <w:caps/>
      <w:sz w:val="28"/>
      <w:szCs w:val="28"/>
    </w:rPr>
  </w:style>
  <w:style w:type="paragraph" w:styleId="22">
    <w:name w:val="Title"/>
    <w:basedOn w:val="1"/>
    <w:link w:val="38"/>
    <w:qFormat/>
    <w:uiPriority w:val="99"/>
    <w:pPr>
      <w:jc w:val="center"/>
    </w:pPr>
    <w:rPr>
      <w:b/>
      <w:bCs/>
      <w:sz w:val="28"/>
    </w:rPr>
  </w:style>
  <w:style w:type="paragraph" w:styleId="23">
    <w:name w:val="Subtitle"/>
    <w:basedOn w:val="1"/>
    <w:link w:val="40"/>
    <w:qFormat/>
    <w:uiPriority w:val="0"/>
    <w:rPr>
      <w:b/>
      <w:sz w:val="28"/>
    </w:rPr>
  </w:style>
  <w:style w:type="character" w:customStyle="1" w:styleId="24">
    <w:name w:val="Заголовок 1 Знак"/>
    <w:basedOn w:val="12"/>
    <w:link w:val="2"/>
    <w:qFormat/>
    <w:uiPriority w:val="99"/>
    <w:rPr>
      <w:rFonts w:ascii="Arial" w:hAnsi="Arial" w:cs="TimesDL"/>
      <w:b/>
      <w:bCs/>
      <w:caps/>
      <w:kern w:val="32"/>
      <w:sz w:val="24"/>
      <w:szCs w:val="24"/>
    </w:rPr>
  </w:style>
  <w:style w:type="character" w:customStyle="1" w:styleId="25">
    <w:name w:val="Заголовок 2 Знак"/>
    <w:basedOn w:val="12"/>
    <w:link w:val="3"/>
    <w:qFormat/>
    <w:uiPriority w:val="0"/>
    <w:rPr>
      <w:rFonts w:ascii="Arial" w:hAnsi="Arial" w:cs="TimesDL"/>
      <w:b/>
      <w:bCs/>
      <w:sz w:val="24"/>
      <w:szCs w:val="22"/>
    </w:rPr>
  </w:style>
  <w:style w:type="character" w:customStyle="1" w:styleId="26">
    <w:name w:val="Заголовок 3 Знак"/>
    <w:basedOn w:val="12"/>
    <w:link w:val="4"/>
    <w:qFormat/>
    <w:uiPriority w:val="99"/>
    <w:rPr>
      <w:rFonts w:ascii="Arial" w:hAnsi="Arial" w:cs="TimesDL"/>
      <w:b/>
      <w:bCs/>
      <w:i/>
      <w:sz w:val="24"/>
      <w:szCs w:val="26"/>
    </w:rPr>
  </w:style>
  <w:style w:type="character" w:customStyle="1" w:styleId="27">
    <w:name w:val="Заголовок 3 Знак2"/>
    <w:basedOn w:val="12"/>
    <w:qFormat/>
    <w:locked/>
    <w:uiPriority w:val="99"/>
    <w:rPr>
      <w:rFonts w:ascii="Arial" w:hAnsi="Arial" w:cs="TimesDL"/>
      <w:b/>
      <w:bCs/>
      <w:i/>
      <w:sz w:val="24"/>
      <w:szCs w:val="26"/>
    </w:rPr>
  </w:style>
  <w:style w:type="character" w:customStyle="1" w:styleId="28">
    <w:name w:val="Заголовок 4 Знак"/>
    <w:basedOn w:val="12"/>
    <w:link w:val="5"/>
    <w:qFormat/>
    <w:uiPriority w:val="99"/>
    <w:rPr>
      <w:rFonts w:ascii="Arial" w:hAnsi="Arial" w:cs="TimesDL"/>
      <w:bCs/>
      <w:i/>
      <w:sz w:val="24"/>
      <w:szCs w:val="28"/>
    </w:rPr>
  </w:style>
  <w:style w:type="character" w:customStyle="1" w:styleId="29">
    <w:name w:val="Заголовок 4 Знак2"/>
    <w:basedOn w:val="12"/>
    <w:qFormat/>
    <w:uiPriority w:val="99"/>
    <w:rPr>
      <w:rFonts w:ascii="Arial" w:hAnsi="Arial" w:cs="TimesDL"/>
      <w:bCs/>
      <w:i/>
      <w:sz w:val="24"/>
      <w:szCs w:val="28"/>
    </w:rPr>
  </w:style>
  <w:style w:type="character" w:customStyle="1" w:styleId="30">
    <w:name w:val="Заголовок 5 Знак"/>
    <w:basedOn w:val="12"/>
    <w:link w:val="6"/>
    <w:qFormat/>
    <w:uiPriority w:val="0"/>
    <w:rPr>
      <w:rFonts w:ascii="Arial" w:hAnsi="Arial" w:cs="TimesDL"/>
      <w:b/>
      <w:bCs/>
      <w:i/>
      <w:iCs/>
      <w:sz w:val="24"/>
      <w:szCs w:val="26"/>
    </w:rPr>
  </w:style>
  <w:style w:type="character" w:customStyle="1" w:styleId="31">
    <w:name w:val="Заголовок 5 Знак1"/>
    <w:basedOn w:val="12"/>
    <w:qFormat/>
    <w:uiPriority w:val="0"/>
    <w:rPr>
      <w:rFonts w:ascii="Arial" w:hAnsi="Arial" w:cs="TimesDL"/>
      <w:b/>
      <w:bCs/>
      <w:i/>
      <w:iCs/>
      <w:sz w:val="24"/>
      <w:szCs w:val="26"/>
    </w:rPr>
  </w:style>
  <w:style w:type="character" w:customStyle="1" w:styleId="32">
    <w:name w:val="Заголовок 6 Знак"/>
    <w:basedOn w:val="12"/>
    <w:link w:val="7"/>
    <w:qFormat/>
    <w:uiPriority w:val="99"/>
    <w:rPr>
      <w:rFonts w:ascii="TimesDL" w:hAnsi="TimesDL"/>
      <w:b/>
      <w:sz w:val="24"/>
      <w:lang w:val="en-US" w:eastAsia="en-US"/>
    </w:rPr>
  </w:style>
  <w:style w:type="character" w:customStyle="1" w:styleId="33">
    <w:name w:val="Основной текст 2 Знак"/>
    <w:basedOn w:val="12"/>
    <w:link w:val="8"/>
    <w:semiHidden/>
    <w:qFormat/>
    <w:uiPriority w:val="99"/>
    <w:rPr>
      <w:rFonts w:ascii="Arial" w:hAnsi="Arial"/>
      <w:sz w:val="24"/>
    </w:rPr>
  </w:style>
  <w:style w:type="character" w:customStyle="1" w:styleId="34">
    <w:name w:val="Заголовок 7 Знак"/>
    <w:basedOn w:val="12"/>
    <w:link w:val="9"/>
    <w:qFormat/>
    <w:uiPriority w:val="99"/>
    <w:rPr>
      <w:rFonts w:ascii="TimesDL" w:hAnsi="TimesDL"/>
      <w:b/>
      <w:sz w:val="24"/>
      <w:lang w:val="en-US" w:eastAsia="en-US"/>
    </w:rPr>
  </w:style>
  <w:style w:type="character" w:customStyle="1" w:styleId="35">
    <w:name w:val="Заголовок 8 Знак"/>
    <w:basedOn w:val="12"/>
    <w:link w:val="10"/>
    <w:qFormat/>
    <w:uiPriority w:val="99"/>
    <w:rPr>
      <w:rFonts w:ascii="Arial" w:hAnsi="Arial"/>
      <w:i/>
      <w:sz w:val="22"/>
      <w:lang w:val="en-US" w:eastAsia="en-US"/>
    </w:rPr>
  </w:style>
  <w:style w:type="character" w:customStyle="1" w:styleId="36">
    <w:name w:val="Заголовок 9 Знак"/>
    <w:basedOn w:val="12"/>
    <w:link w:val="11"/>
    <w:qFormat/>
    <w:uiPriority w:val="99"/>
    <w:rPr>
      <w:rFonts w:ascii="Arial" w:hAnsi="Arial"/>
      <w:sz w:val="22"/>
      <w:lang w:val="en-US" w:eastAsia="en-US"/>
    </w:rPr>
  </w:style>
  <w:style w:type="character" w:customStyle="1" w:styleId="37">
    <w:name w:val="Название объекта Знак"/>
    <w:basedOn w:val="12"/>
    <w:link w:val="18"/>
    <w:qFormat/>
    <w:uiPriority w:val="0"/>
    <w:rPr>
      <w:rFonts w:ascii="Arial" w:hAnsi="Arial"/>
      <w:kern w:val="16"/>
      <w:sz w:val="24"/>
    </w:rPr>
  </w:style>
  <w:style w:type="character" w:customStyle="1" w:styleId="38">
    <w:name w:val="Название Знак"/>
    <w:basedOn w:val="12"/>
    <w:link w:val="22"/>
    <w:qFormat/>
    <w:uiPriority w:val="99"/>
    <w:rPr>
      <w:b/>
      <w:bCs/>
      <w:sz w:val="28"/>
      <w:szCs w:val="24"/>
    </w:rPr>
  </w:style>
  <w:style w:type="character" w:customStyle="1" w:styleId="39">
    <w:name w:val="Основной текст Знак"/>
    <w:basedOn w:val="12"/>
    <w:link w:val="20"/>
    <w:qFormat/>
    <w:uiPriority w:val="0"/>
    <w:rPr>
      <w:rFonts w:ascii="Arial" w:hAnsi="Arial"/>
      <w:sz w:val="24"/>
    </w:rPr>
  </w:style>
  <w:style w:type="character" w:customStyle="1" w:styleId="40">
    <w:name w:val="Подзаголовок Знак"/>
    <w:basedOn w:val="12"/>
    <w:link w:val="23"/>
    <w:qFormat/>
    <w:uiPriority w:val="0"/>
    <w:rPr>
      <w:b/>
      <w:sz w:val="28"/>
      <w:szCs w:val="24"/>
    </w:rPr>
  </w:style>
  <w:style w:type="paragraph" w:styleId="41">
    <w:name w:val="No Spacing"/>
    <w:basedOn w:val="1"/>
    <w:link w:val="42"/>
    <w:qFormat/>
    <w:uiPriority w:val="99"/>
    <w:rPr>
      <w:rFonts w:ascii="Calibri" w:hAnsi="Calibri" w:eastAsia="Calibri"/>
      <w:sz w:val="22"/>
      <w:szCs w:val="22"/>
      <w:lang w:eastAsia="en-US"/>
    </w:rPr>
  </w:style>
  <w:style w:type="character" w:customStyle="1" w:styleId="42">
    <w:name w:val="Без интервала Знак"/>
    <w:basedOn w:val="12"/>
    <w:link w:val="41"/>
    <w:qFormat/>
    <w:uiPriority w:val="99"/>
    <w:rPr>
      <w:rFonts w:ascii="Calibri" w:hAnsi="Calibri" w:eastAsia="Calibri"/>
      <w:sz w:val="22"/>
      <w:szCs w:val="22"/>
      <w:lang w:eastAsia="en-US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Intense Quote"/>
    <w:basedOn w:val="1"/>
    <w:next w:val="1"/>
    <w:link w:val="45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45">
    <w:name w:val="Выделенная цитата Знак"/>
    <w:basedOn w:val="12"/>
    <w:link w:val="44"/>
    <w:qFormat/>
    <w:uiPriority w:val="30"/>
    <w:rPr>
      <w:rFonts w:ascii="Arial" w:hAnsi="Arial"/>
      <w:b/>
      <w:bCs/>
      <w:i/>
      <w:iCs/>
      <w:color w:val="4F81BD" w:themeColor="accent1"/>
      <w:sz w:val="24"/>
    </w:rPr>
  </w:style>
  <w:style w:type="character" w:customStyle="1" w:styleId="46">
    <w:name w:val="Subtle Reference"/>
    <w:basedOn w:val="12"/>
    <w:qFormat/>
    <w:uiPriority w:val="0"/>
    <w:rPr>
      <w:smallCaps/>
      <w:color w:val="C0504D"/>
      <w:u w:val="single"/>
    </w:rPr>
  </w:style>
  <w:style w:type="character" w:customStyle="1" w:styleId="47">
    <w:name w:val="Book Title"/>
    <w:qFormat/>
    <w:uiPriority w:val="33"/>
    <w:rPr>
      <w:b/>
      <w:bCs/>
      <w:smallCaps/>
      <w:spacing w:val="5"/>
    </w:rPr>
  </w:style>
  <w:style w:type="paragraph" w:customStyle="1" w:styleId="48">
    <w:name w:val="TOC Heading"/>
    <w:basedOn w:val="2"/>
    <w:next w:val="1"/>
    <w:qFormat/>
    <w:uiPriority w:val="39"/>
    <w:pPr>
      <w:keepLines/>
      <w:numPr>
        <w:numId w:val="0"/>
      </w:numPr>
      <w:tabs>
        <w:tab w:val="clear" w:pos="851"/>
      </w:tabs>
      <w:spacing w:before="480" w:line="276" w:lineRule="auto"/>
      <w:outlineLvl w:val="9"/>
    </w:pPr>
    <w:rPr>
      <w:rFonts w:ascii="Cambria" w:hAnsi="Cambria" w:cs="Times New Roman"/>
      <w:caps w:val="0"/>
      <w:color w:val="365F91"/>
      <w:kern w:val="0"/>
      <w:sz w:val="28"/>
      <w:szCs w:val="28"/>
      <w:lang w:eastAsia="en-US"/>
    </w:rPr>
  </w:style>
  <w:style w:type="paragraph" w:customStyle="1" w:styleId="49">
    <w:name w:val="Таблица название"/>
    <w:basedOn w:val="1"/>
    <w:link w:val="50"/>
    <w:qFormat/>
    <w:uiPriority w:val="0"/>
    <w:pPr>
      <w:keepNext/>
      <w:keepLines/>
      <w:spacing w:before="120"/>
    </w:pPr>
    <w:rPr>
      <w:rFonts w:cs="TimesDL"/>
      <w:sz w:val="20"/>
    </w:rPr>
  </w:style>
  <w:style w:type="character" w:customStyle="1" w:styleId="50">
    <w:name w:val="Таблица название Знак Знак"/>
    <w:basedOn w:val="12"/>
    <w:link w:val="49"/>
    <w:qFormat/>
    <w:uiPriority w:val="0"/>
    <w:rPr>
      <w:rFonts w:ascii="Arial" w:hAnsi="Arial" w:cs="TimesDL"/>
    </w:rPr>
  </w:style>
  <w:style w:type="paragraph" w:customStyle="1" w:styleId="51">
    <w:name w:val="Нижний правый колонтитул"/>
    <w:qFormat/>
    <w:uiPriority w:val="0"/>
    <w:pPr>
      <w:jc w:val="right"/>
    </w:pPr>
    <w:rPr>
      <w:rFonts w:ascii="Arial" w:hAnsi="Arial" w:eastAsia="Times New Roman" w:cs="Times New Roman"/>
      <w:szCs w:val="12"/>
      <w:lang w:val="ru-RU" w:eastAsia="ru-RU" w:bidi="ar-SA"/>
    </w:rPr>
  </w:style>
  <w:style w:type="paragraph" w:customStyle="1" w:styleId="52">
    <w:name w:val="Таблица"/>
    <w:basedOn w:val="1"/>
    <w:link w:val="53"/>
    <w:qFormat/>
    <w:uiPriority w:val="0"/>
    <w:pPr>
      <w:spacing w:before="40" w:after="40"/>
    </w:pPr>
    <w:rPr>
      <w:sz w:val="20"/>
      <w:lang w:val="en-US" w:eastAsia="en-US"/>
    </w:rPr>
  </w:style>
  <w:style w:type="character" w:customStyle="1" w:styleId="53">
    <w:name w:val="Таблица Знак"/>
    <w:basedOn w:val="12"/>
    <w:link w:val="52"/>
    <w:qFormat/>
    <w:uiPriority w:val="0"/>
    <w:rPr>
      <w:rFonts w:ascii="Arial" w:hAnsi="Arial"/>
      <w:lang w:val="en-US" w:eastAsia="en-US"/>
    </w:rPr>
  </w:style>
  <w:style w:type="paragraph" w:customStyle="1" w:styleId="54">
    <w:name w:val="Абзац списка12"/>
    <w:basedOn w:val="1"/>
    <w:qFormat/>
    <w:uiPriority w:val="0"/>
    <w:pPr>
      <w:ind w:left="720"/>
    </w:pPr>
    <w:rPr>
      <w:rFonts w:eastAsia="Calibri"/>
      <w:color w:val="000000"/>
    </w:rPr>
  </w:style>
  <w:style w:type="paragraph" w:customStyle="1" w:styleId="55">
    <w:name w:val="Contents"/>
    <w:basedOn w:val="2"/>
    <w:next w:val="1"/>
    <w:autoRedefine/>
    <w:unhideWhenUsed/>
    <w:qFormat/>
    <w:uiPriority w:val="0"/>
    <w:pPr>
      <w:keepLines/>
      <w:numPr>
        <w:numId w:val="0"/>
      </w:numPr>
      <w:tabs>
        <w:tab w:val="clear" w:pos="851"/>
      </w:tabs>
      <w:spacing w:before="0" w:after="240"/>
      <w:jc w:val="center"/>
      <w:outlineLvl w:val="9"/>
    </w:pPr>
    <w:rPr>
      <w:rFonts w:cs="Times New Roman"/>
      <w:caps w:val="0"/>
      <w:kern w:val="0"/>
      <w:sz w:val="28"/>
      <w:szCs w:val="28"/>
      <w:lang w:eastAsia="en-US"/>
    </w:rPr>
  </w:style>
  <w:style w:type="paragraph" w:customStyle="1" w:styleId="56">
    <w:name w:val="Стиль4"/>
    <w:basedOn w:val="21"/>
    <w:link w:val="57"/>
    <w:qFormat/>
    <w:uiPriority w:val="99"/>
    <w:pPr>
      <w:tabs>
        <w:tab w:val="right" w:leader="dot" w:pos="10100"/>
        <w:tab w:val="clear" w:pos="9639"/>
      </w:tabs>
      <w:spacing w:before="120"/>
      <w:ind w:left="0" w:right="0" w:firstLine="0"/>
    </w:pPr>
    <w:rPr>
      <w:rFonts w:cs="Arial"/>
      <w:bCs/>
      <w:sz w:val="24"/>
      <w:szCs w:val="24"/>
    </w:rPr>
  </w:style>
  <w:style w:type="character" w:customStyle="1" w:styleId="57">
    <w:name w:val="Стиль4 Знак"/>
    <w:basedOn w:val="12"/>
    <w:link w:val="56"/>
    <w:qFormat/>
    <w:uiPriority w:val="99"/>
    <w:rPr>
      <w:rFonts w:ascii="Arial" w:hAnsi="Arial" w:cs="Arial"/>
      <w:b/>
      <w:bCs/>
      <w:caps/>
      <w:sz w:val="24"/>
      <w:szCs w:val="24"/>
    </w:rPr>
  </w:style>
  <w:style w:type="paragraph" w:customStyle="1" w:styleId="58">
    <w:name w:val="EAC_Contents"/>
    <w:basedOn w:val="2"/>
    <w:next w:val="1"/>
    <w:unhideWhenUsed/>
    <w:qFormat/>
    <w:uiPriority w:val="0"/>
    <w:pPr>
      <w:keepLines/>
      <w:numPr>
        <w:numId w:val="0"/>
      </w:numPr>
      <w:tabs>
        <w:tab w:val="clear" w:pos="851"/>
      </w:tabs>
      <w:spacing w:before="480" w:line="276" w:lineRule="auto"/>
      <w:outlineLvl w:val="9"/>
    </w:pPr>
    <w:rPr>
      <w:rFonts w:cs="Times New Roman"/>
      <w:kern w:val="0"/>
      <w:szCs w:val="20"/>
      <w:lang w:eastAsia="en-US"/>
    </w:rPr>
  </w:style>
  <w:style w:type="character" w:customStyle="1" w:styleId="59">
    <w:name w:val="Сильное выделение1"/>
    <w:basedOn w:val="12"/>
    <w:qFormat/>
    <w:uiPriority w:val="0"/>
    <w:rPr>
      <w:b/>
      <w:bCs/>
      <w:i/>
      <w:iCs/>
      <w:color w:val="4F81BD"/>
    </w:rPr>
  </w:style>
  <w:style w:type="paragraph" w:customStyle="1" w:styleId="60">
    <w:name w:val="Без интервала1"/>
    <w:qFormat/>
    <w:uiPriority w:val="0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1">
    <w:name w:val="Название таблиц"/>
    <w:basedOn w:val="1"/>
    <w:qFormat/>
    <w:uiPriority w:val="0"/>
    <w:pPr>
      <w:spacing w:before="240"/>
    </w:pPr>
    <w:rPr>
      <w:bCs/>
      <w:sz w:val="22"/>
      <w:szCs w:val="18"/>
      <w:lang w:val="en-US"/>
    </w:rPr>
  </w:style>
  <w:style w:type="paragraph" w:customStyle="1" w:styleId="62">
    <w:name w:val="Абзац списка11"/>
    <w:basedOn w:val="1"/>
    <w:qFormat/>
    <w:uiPriority w:val="0"/>
    <w:pPr>
      <w:ind w:left="720"/>
    </w:pPr>
    <w:rPr>
      <w:rFonts w:eastAsia="Calibri"/>
      <w:color w:val="000000"/>
    </w:rPr>
  </w:style>
  <w:style w:type="paragraph" w:customStyle="1" w:styleId="63">
    <w:name w:val="Таблица-1"/>
    <w:basedOn w:val="1"/>
    <w:link w:val="64"/>
    <w:qFormat/>
    <w:uiPriority w:val="0"/>
    <w:pPr>
      <w:spacing w:before="40" w:after="40"/>
    </w:pPr>
    <w:rPr>
      <w:sz w:val="20"/>
    </w:rPr>
  </w:style>
  <w:style w:type="character" w:customStyle="1" w:styleId="64">
    <w:name w:val="Таблица-1 Знак"/>
    <w:link w:val="63"/>
    <w:qFormat/>
    <w:uiPriority w:val="0"/>
    <w:rPr>
      <w:rFonts w:ascii="Arial" w:hAnsi="Arial"/>
      <w:szCs w:val="24"/>
    </w:rPr>
  </w:style>
  <w:style w:type="paragraph" w:customStyle="1" w:styleId="65">
    <w:name w:val="Table Paragraph"/>
    <w:basedOn w:val="1"/>
    <w:qFormat/>
    <w:uiPriority w:val="1"/>
    <w:pPr>
      <w:widowControl w:val="0"/>
      <w:autoSpaceDE w:val="0"/>
      <w:autoSpaceDN w:val="0"/>
      <w:adjustRightInd w:val="0"/>
    </w:pPr>
  </w:style>
  <w:style w:type="paragraph" w:customStyle="1" w:styleId="66">
    <w:name w:val="Заголовок оглавления1"/>
    <w:basedOn w:val="2"/>
    <w:next w:val="1"/>
    <w:qFormat/>
    <w:uiPriority w:val="39"/>
    <w:pPr>
      <w:keepLines/>
      <w:numPr>
        <w:numId w:val="0"/>
      </w:numPr>
      <w:tabs>
        <w:tab w:val="clear" w:pos="851"/>
      </w:tabs>
      <w:spacing w:before="480" w:line="276" w:lineRule="auto"/>
      <w:outlineLvl w:val="9"/>
    </w:pPr>
    <w:rPr>
      <w:rFonts w:ascii="Cambria" w:hAnsi="Cambria" w:cs="Cambria"/>
      <w:caps w:val="0"/>
      <w:color w:val="365F91"/>
      <w:kern w:val="0"/>
      <w:sz w:val="28"/>
      <w:szCs w:val="28"/>
      <w:lang w:eastAsia="en-US"/>
    </w:rPr>
  </w:style>
  <w:style w:type="paragraph" w:customStyle="1" w:styleId="67">
    <w:name w:val="Заголовок оглавления2"/>
    <w:basedOn w:val="2"/>
    <w:next w:val="1"/>
    <w:qFormat/>
    <w:uiPriority w:val="99"/>
    <w:pPr>
      <w:keepLines/>
      <w:numPr>
        <w:numId w:val="0"/>
      </w:numPr>
      <w:tabs>
        <w:tab w:val="clear" w:pos="851"/>
      </w:tabs>
      <w:spacing w:before="480" w:line="276" w:lineRule="auto"/>
      <w:outlineLvl w:val="9"/>
    </w:pPr>
    <w:rPr>
      <w:rFonts w:ascii="Cambria" w:hAnsi="Cambria" w:cs="Cambria"/>
      <w:caps w:val="0"/>
      <w:color w:val="365F91"/>
      <w:kern w:val="0"/>
      <w:sz w:val="28"/>
      <w:szCs w:val="28"/>
      <w:lang w:eastAsia="en-US"/>
    </w:rPr>
  </w:style>
  <w:style w:type="paragraph" w:customStyle="1" w:styleId="68">
    <w:name w:val="Рисунок подпись"/>
    <w:basedOn w:val="1"/>
    <w:link w:val="69"/>
    <w:qFormat/>
    <w:uiPriority w:val="0"/>
    <w:pPr>
      <w:spacing w:before="120"/>
      <w:jc w:val="center"/>
    </w:pPr>
    <w:rPr>
      <w:b/>
    </w:rPr>
  </w:style>
  <w:style w:type="character" w:customStyle="1" w:styleId="69">
    <w:name w:val="Рисунок подпись Знак"/>
    <w:link w:val="68"/>
    <w:uiPriority w:val="0"/>
    <w:rPr>
      <w:b/>
      <w:sz w:val="24"/>
      <w:szCs w:val="24"/>
    </w:rPr>
  </w:style>
  <w:style w:type="paragraph" w:customStyle="1" w:styleId="70">
    <w:name w:val="Рисунок посередине"/>
    <w:basedOn w:val="1"/>
    <w:link w:val="71"/>
    <w:qFormat/>
    <w:uiPriority w:val="0"/>
    <w:pPr>
      <w:spacing w:before="40" w:after="40"/>
      <w:jc w:val="center"/>
    </w:pPr>
  </w:style>
  <w:style w:type="character" w:customStyle="1" w:styleId="71">
    <w:name w:val="Рисунок посередине Знак"/>
    <w:link w:val="70"/>
    <w:uiPriority w:val="0"/>
    <w:rPr>
      <w:sz w:val="24"/>
      <w:szCs w:val="24"/>
    </w:rPr>
  </w:style>
  <w:style w:type="paragraph" w:customStyle="1" w:styleId="72">
    <w:name w:val="Средняя сетка 1 - Акцент 21"/>
    <w:basedOn w:val="1"/>
    <w:qFormat/>
    <w:uiPriority w:val="0"/>
    <w:pPr>
      <w:spacing w:before="120"/>
      <w:ind w:left="720" w:firstLine="680"/>
      <w:contextualSpacing/>
    </w:pPr>
    <w:rPr>
      <w:rFonts w:ascii="Calibri" w:hAnsi="Calibri"/>
      <w:lang w:val="en-US" w:eastAsia="en-US" w:bidi="en-US"/>
    </w:rPr>
  </w:style>
  <w:style w:type="paragraph" w:customStyle="1" w:styleId="73">
    <w:name w:val="Цитата 21"/>
    <w:basedOn w:val="1"/>
    <w:next w:val="1"/>
    <w:link w:val="74"/>
    <w:qFormat/>
    <w:uiPriority w:val="0"/>
    <w:pPr>
      <w:spacing w:before="120"/>
      <w:ind w:firstLine="680"/>
    </w:pPr>
    <w:rPr>
      <w:rFonts w:ascii="Calibri" w:hAnsi="Calibri"/>
      <w:i/>
      <w:lang w:val="en-US" w:eastAsia="en-US" w:bidi="en-US"/>
    </w:rPr>
  </w:style>
  <w:style w:type="character" w:customStyle="1" w:styleId="74">
    <w:name w:val="Цитата 2 Знак"/>
    <w:link w:val="73"/>
    <w:uiPriority w:val="0"/>
    <w:rPr>
      <w:rFonts w:ascii="Calibri" w:hAnsi="Calibri"/>
      <w:i/>
      <w:sz w:val="24"/>
      <w:szCs w:val="24"/>
      <w:lang w:val="en-US" w:eastAsia="en-US" w:bidi="en-US"/>
    </w:rPr>
  </w:style>
  <w:style w:type="paragraph" w:customStyle="1" w:styleId="75">
    <w:name w:val="Средняя сетка 3 - Акцент 21"/>
    <w:basedOn w:val="1"/>
    <w:next w:val="1"/>
    <w:link w:val="76"/>
    <w:qFormat/>
    <w:uiPriority w:val="0"/>
    <w:pPr>
      <w:spacing w:before="120"/>
      <w:ind w:left="720" w:right="720" w:firstLine="68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76">
    <w:name w:val="Средняя сетка 3 - Акцент 2 Знак"/>
    <w:link w:val="75"/>
    <w:uiPriority w:val="0"/>
    <w:rPr>
      <w:rFonts w:ascii="Calibri" w:hAnsi="Calibri"/>
      <w:b/>
      <w:i/>
      <w:sz w:val="24"/>
      <w:szCs w:val="22"/>
      <w:lang w:val="en-US" w:eastAsia="en-US" w:bidi="en-US"/>
    </w:rPr>
  </w:style>
  <w:style w:type="character" w:customStyle="1" w:styleId="77">
    <w:name w:val="Слабое выделение1"/>
    <w:qFormat/>
    <w:uiPriority w:val="0"/>
    <w:rPr>
      <w:i/>
      <w:color w:val="5A5A5A"/>
    </w:rPr>
  </w:style>
  <w:style w:type="character" w:customStyle="1" w:styleId="78">
    <w:name w:val="Слабая ссылка1"/>
    <w:qFormat/>
    <w:uiPriority w:val="0"/>
    <w:rPr>
      <w:sz w:val="24"/>
      <w:szCs w:val="24"/>
      <w:u w:val="single"/>
    </w:rPr>
  </w:style>
  <w:style w:type="character" w:customStyle="1" w:styleId="79">
    <w:name w:val="Сильная ссылка1"/>
    <w:qFormat/>
    <w:uiPriority w:val="0"/>
    <w:rPr>
      <w:b/>
      <w:sz w:val="24"/>
      <w:u w:val="single"/>
    </w:rPr>
  </w:style>
  <w:style w:type="character" w:customStyle="1" w:styleId="80">
    <w:name w:val="Название книги1"/>
    <w:qFormat/>
    <w:uiPriority w:val="0"/>
    <w:rPr>
      <w:rFonts w:ascii="Cambria" w:hAnsi="Cambria" w:eastAsia="Times New Roman"/>
      <w:b/>
      <w:i/>
      <w:sz w:val="24"/>
      <w:szCs w:val="24"/>
    </w:rPr>
  </w:style>
  <w:style w:type="paragraph" w:customStyle="1" w:styleId="81">
    <w:name w:val="Колонтитул эмблема"/>
    <w:basedOn w:val="1"/>
    <w:link w:val="82"/>
    <w:qFormat/>
    <w:uiPriority w:val="0"/>
    <w:pPr>
      <w:spacing w:before="40" w:after="40"/>
      <w:ind w:firstLine="24"/>
    </w:pPr>
  </w:style>
  <w:style w:type="character" w:customStyle="1" w:styleId="82">
    <w:name w:val="Колонтитул эмблема Знак"/>
    <w:link w:val="81"/>
    <w:uiPriority w:val="0"/>
    <w:rPr>
      <w:sz w:val="24"/>
      <w:szCs w:val="24"/>
    </w:rPr>
  </w:style>
  <w:style w:type="paragraph" w:customStyle="1" w:styleId="83">
    <w:name w:val="Название проекта"/>
    <w:basedOn w:val="1"/>
    <w:link w:val="84"/>
    <w:qFormat/>
    <w:uiPriority w:val="0"/>
    <w:pPr>
      <w:spacing w:before="120"/>
      <w:jc w:val="center"/>
    </w:pPr>
    <w:rPr>
      <w:b/>
      <w:sz w:val="20"/>
    </w:rPr>
  </w:style>
  <w:style w:type="character" w:customStyle="1" w:styleId="84">
    <w:name w:val="Название проекта Знак"/>
    <w:link w:val="83"/>
    <w:uiPriority w:val="0"/>
    <w:rPr>
      <w:rFonts w:ascii="Arial" w:hAnsi="Arial"/>
      <w:b/>
      <w:szCs w:val="24"/>
    </w:rPr>
  </w:style>
  <w:style w:type="paragraph" w:customStyle="1" w:styleId="85">
    <w:name w:val="Название документа"/>
    <w:basedOn w:val="83"/>
    <w:link w:val="86"/>
    <w:qFormat/>
    <w:uiPriority w:val="0"/>
    <w:rPr>
      <w:sz w:val="28"/>
    </w:rPr>
  </w:style>
  <w:style w:type="character" w:customStyle="1" w:styleId="86">
    <w:name w:val="Название документа Знак"/>
    <w:link w:val="85"/>
    <w:uiPriority w:val="0"/>
    <w:rPr>
      <w:rFonts w:ascii="Arial" w:hAnsi="Arial"/>
      <w:b/>
      <w:sz w:val="28"/>
      <w:szCs w:val="24"/>
    </w:rPr>
  </w:style>
  <w:style w:type="paragraph" w:customStyle="1" w:styleId="87">
    <w:name w:val="Колонтитул"/>
    <w:basedOn w:val="1"/>
    <w:link w:val="88"/>
    <w:qFormat/>
    <w:uiPriority w:val="0"/>
    <w:pPr>
      <w:spacing w:before="40" w:after="40"/>
      <w:ind w:firstLine="680"/>
      <w:jc w:val="right"/>
    </w:pPr>
    <w:rPr>
      <w:sz w:val="20"/>
    </w:rPr>
  </w:style>
  <w:style w:type="character" w:customStyle="1" w:styleId="88">
    <w:name w:val="Колонтитул Знак"/>
    <w:link w:val="87"/>
    <w:uiPriority w:val="0"/>
    <w:rPr>
      <w:szCs w:val="24"/>
    </w:rPr>
  </w:style>
  <w:style w:type="paragraph" w:customStyle="1" w:styleId="89">
    <w:name w:val="Список квадратики"/>
    <w:basedOn w:val="1"/>
    <w:link w:val="90"/>
    <w:qFormat/>
    <w:uiPriority w:val="0"/>
    <w:pPr>
      <w:numPr>
        <w:ilvl w:val="0"/>
        <w:numId w:val="2"/>
      </w:numPr>
      <w:spacing w:before="120" w:after="60"/>
    </w:pPr>
  </w:style>
  <w:style w:type="character" w:customStyle="1" w:styleId="90">
    <w:name w:val="Список квадратики Знак"/>
    <w:link w:val="89"/>
    <w:uiPriority w:val="0"/>
    <w:rPr>
      <w:sz w:val="24"/>
      <w:szCs w:val="24"/>
    </w:rPr>
  </w:style>
  <w:style w:type="paragraph" w:customStyle="1" w:styleId="91">
    <w:name w:val="Список для формул"/>
    <w:basedOn w:val="89"/>
    <w:link w:val="92"/>
    <w:qFormat/>
    <w:uiPriority w:val="0"/>
    <w:pPr>
      <w:numPr>
        <w:numId w:val="0"/>
      </w:numPr>
      <w:ind w:left="2124"/>
    </w:pPr>
  </w:style>
  <w:style w:type="character" w:customStyle="1" w:styleId="92">
    <w:name w:val="Список для формул Знак"/>
    <w:basedOn w:val="90"/>
    <w:link w:val="91"/>
    <w:uiPriority w:val="0"/>
    <w:rPr>
      <w:sz w:val="24"/>
      <w:szCs w:val="24"/>
    </w:rPr>
  </w:style>
  <w:style w:type="paragraph" w:customStyle="1" w:styleId="93">
    <w:name w:val="Колонтитул ГТ"/>
    <w:link w:val="95"/>
    <w:qFormat/>
    <w:uiPriority w:val="0"/>
    <w:pPr>
      <w:tabs>
        <w:tab w:val="center" w:pos="4677"/>
        <w:tab w:val="right" w:pos="9355"/>
      </w:tabs>
      <w:jc w:val="right"/>
    </w:pPr>
    <w:rPr>
      <w:rFonts w:ascii="Times New Roman" w:hAnsi="Times New Roman" w:eastAsia="Times New Roman" w:cs="Times New Roman"/>
      <w:szCs w:val="24"/>
      <w:lang w:val="ru-RU" w:eastAsia="ru-RU" w:bidi="ar-SA"/>
    </w:rPr>
  </w:style>
  <w:style w:type="character" w:customStyle="1" w:styleId="94">
    <w:name w:val="Верхний колонтитул Знак"/>
    <w:basedOn w:val="12"/>
    <w:link w:val="19"/>
    <w:semiHidden/>
    <w:uiPriority w:val="99"/>
    <w:rPr>
      <w:rFonts w:ascii="Arial" w:hAnsi="Arial"/>
      <w:sz w:val="24"/>
    </w:rPr>
  </w:style>
  <w:style w:type="character" w:customStyle="1" w:styleId="95">
    <w:name w:val="Колонтитул ГТ Знак"/>
    <w:basedOn w:val="12"/>
    <w:link w:val="93"/>
    <w:uiPriority w:val="0"/>
    <w:rPr>
      <w:szCs w:val="24"/>
    </w:rPr>
  </w:style>
  <w:style w:type="paragraph" w:customStyle="1" w:styleId="96">
    <w:name w:val="Подраздел 1"/>
    <w:basedOn w:val="3"/>
    <w:link w:val="97"/>
    <w:qFormat/>
    <w:uiPriority w:val="99"/>
    <w:pPr>
      <w:numPr>
        <w:ilvl w:val="0"/>
        <w:numId w:val="0"/>
      </w:numPr>
    </w:pPr>
    <w:rPr>
      <w:bCs w:val="0"/>
    </w:rPr>
  </w:style>
  <w:style w:type="character" w:customStyle="1" w:styleId="97">
    <w:name w:val="Подраздел 1 Знак"/>
    <w:basedOn w:val="12"/>
    <w:link w:val="96"/>
    <w:uiPriority w:val="99"/>
    <w:rPr>
      <w:rFonts w:ascii="Arial" w:hAnsi="Arial" w:cs="TimesDL"/>
      <w:b/>
      <w:sz w:val="24"/>
      <w:szCs w:val="22"/>
    </w:rPr>
  </w:style>
  <w:style w:type="paragraph" w:customStyle="1" w:styleId="98">
    <w:name w:val="Подраздел 2"/>
    <w:basedOn w:val="1"/>
    <w:link w:val="99"/>
    <w:qFormat/>
    <w:uiPriority w:val="0"/>
    <w:pPr>
      <w:tabs>
        <w:tab w:val="left" w:pos="993"/>
      </w:tabs>
      <w:spacing w:before="240" w:after="240"/>
    </w:pPr>
    <w:rPr>
      <w:b/>
      <w:sz w:val="26"/>
      <w:szCs w:val="26"/>
    </w:rPr>
  </w:style>
  <w:style w:type="character" w:customStyle="1" w:styleId="99">
    <w:name w:val="Подраздел 2 Знак"/>
    <w:link w:val="98"/>
    <w:uiPriority w:val="0"/>
    <w:rPr>
      <w:rFonts w:ascii="Arial" w:hAnsi="Arial"/>
      <w:b/>
      <w:sz w:val="26"/>
      <w:szCs w:val="26"/>
    </w:rPr>
  </w:style>
  <w:style w:type="paragraph" w:customStyle="1" w:styleId="100">
    <w:name w:val="Подраздел 3"/>
    <w:basedOn w:val="98"/>
    <w:link w:val="101"/>
    <w:qFormat/>
    <w:uiPriority w:val="0"/>
    <w:rPr>
      <w:i/>
    </w:rPr>
  </w:style>
  <w:style w:type="character" w:customStyle="1" w:styleId="101">
    <w:name w:val="Подраздел 3 Знак"/>
    <w:link w:val="100"/>
    <w:uiPriority w:val="0"/>
    <w:rPr>
      <w:rFonts w:ascii="Arial" w:hAnsi="Arial"/>
      <w:b/>
      <w:i/>
      <w:sz w:val="26"/>
      <w:szCs w:val="26"/>
    </w:rPr>
  </w:style>
  <w:style w:type="paragraph" w:customStyle="1" w:styleId="102">
    <w:name w:val="Список 2 уровня"/>
    <w:basedOn w:val="89"/>
    <w:link w:val="103"/>
    <w:qFormat/>
    <w:uiPriority w:val="0"/>
    <w:pPr>
      <w:numPr>
        <w:ilvl w:val="1"/>
        <w:numId w:val="3"/>
      </w:numPr>
      <w:spacing w:before="60"/>
    </w:pPr>
  </w:style>
  <w:style w:type="character" w:customStyle="1" w:styleId="103">
    <w:name w:val="Список 2 уровня Знак"/>
    <w:basedOn w:val="90"/>
    <w:link w:val="102"/>
    <w:uiPriority w:val="0"/>
    <w:rPr>
      <w:sz w:val="24"/>
      <w:szCs w:val="24"/>
    </w:rPr>
  </w:style>
  <w:style w:type="paragraph" w:customStyle="1" w:styleId="104">
    <w:name w:val="Утверждаю Заказчик"/>
    <w:basedOn w:val="1"/>
    <w:link w:val="105"/>
    <w:qFormat/>
    <w:uiPriority w:val="0"/>
    <w:pPr>
      <w:spacing w:before="120"/>
      <w:ind w:firstLine="680"/>
      <w:jc w:val="right"/>
    </w:pPr>
  </w:style>
  <w:style w:type="character" w:customStyle="1" w:styleId="105">
    <w:name w:val="Утверждаю Заказчик Знак"/>
    <w:link w:val="104"/>
    <w:uiPriority w:val="0"/>
    <w:rPr>
      <w:sz w:val="24"/>
      <w:szCs w:val="24"/>
    </w:rPr>
  </w:style>
  <w:style w:type="paragraph" w:customStyle="1" w:styleId="106">
    <w:name w:val="Подраздел 4"/>
    <w:basedOn w:val="5"/>
    <w:link w:val="107"/>
    <w:qFormat/>
    <w:uiPriority w:val="0"/>
    <w:pPr>
      <w:numPr>
        <w:ilvl w:val="0"/>
        <w:numId w:val="0"/>
      </w:numPr>
      <w:tabs>
        <w:tab w:val="clear" w:pos="851"/>
      </w:tabs>
      <w:spacing w:after="60"/>
    </w:pPr>
    <w:rPr>
      <w:rFonts w:cs="Times New Roman"/>
      <w:b/>
      <w:sz w:val="22"/>
    </w:rPr>
  </w:style>
  <w:style w:type="character" w:customStyle="1" w:styleId="107">
    <w:name w:val="Подраздел 4 Знак"/>
    <w:link w:val="106"/>
    <w:uiPriority w:val="0"/>
    <w:rPr>
      <w:rFonts w:ascii="Arial" w:hAnsi="Arial"/>
      <w:b/>
      <w:bCs/>
      <w:i/>
      <w:sz w:val="22"/>
      <w:szCs w:val="28"/>
    </w:rPr>
  </w:style>
  <w:style w:type="paragraph" w:customStyle="1" w:styleId="108">
    <w:name w:val="таб2"/>
    <w:basedOn w:val="63"/>
    <w:link w:val="109"/>
    <w:qFormat/>
    <w:uiPriority w:val="0"/>
    <w:pPr>
      <w:ind w:right="-132"/>
    </w:pPr>
    <w:rPr>
      <w:sz w:val="22"/>
    </w:rPr>
  </w:style>
  <w:style w:type="character" w:customStyle="1" w:styleId="109">
    <w:name w:val="таб2 Знак"/>
    <w:link w:val="108"/>
    <w:uiPriority w:val="0"/>
    <w:rPr>
      <w:rFonts w:ascii="Arial" w:hAnsi="Arial"/>
      <w:sz w:val="2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36302-8161-46A6-A76E-E6AA9D9B46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926</Words>
  <Characters>7812</Characters>
  <Lines>63</Lines>
  <Paragraphs>17</Paragraphs>
  <TotalTime>120</TotalTime>
  <ScaleCrop>false</ScaleCrop>
  <LinksUpToDate>false</LinksUpToDate>
  <CharactersWithSpaces>8700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2026-06-02T13:55:00Z</dcterms:created>
  <dc:creator>Айгуль</dc:creator>
  <cp:lastModifiedBy>Наталья</cp:lastModifiedBy>
  <dcterms:modified xsi:type="dcterms:W3CDTF">2026-06-11T18:07:39Z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eyJoZGlkIjoiMzk1YWVlZTc2OGUwNWJmMTA5NzJiYWIwZGE1YzE5ZTcifQ==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EE141731C83349099BA483EE39B9CCE1_12</vt:lpwstr>
  </property>
</Properties>
</file>