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ИНФОРМАЦИЯ </w:t>
      </w:r>
    </w:p>
    <w:p w14:paraId="05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работе Управления по профилактике коррупционных и иных правонарушений Чукотского автономного округа </w:t>
      </w:r>
    </w:p>
    <w:p w14:paraId="06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в апреле 2024 года </w:t>
      </w:r>
    </w:p>
    <w:p w14:paraId="07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3711"/>
        <w:gridCol w:w="5927"/>
      </w:tblGrid>
      <w:tr>
        <w:trPr>
          <w:trHeight w:hRule="atLeast" w:val="829"/>
        </w:trPr>
        <w:tc>
          <w:tcPr>
            <w:tcW w:type="dxa" w:w="3711"/>
          </w:tcPr>
          <w:p w14:paraId="08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антикоррупционного органа</w:t>
            </w:r>
          </w:p>
        </w:tc>
        <w:tc>
          <w:tcPr>
            <w:tcW w:type="dxa" w:w="5927"/>
          </w:tcPr>
          <w:p w14:paraId="09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по профилактике коррупционных и иных правонарушений Чукотского </w:t>
            </w:r>
            <w:r>
              <w:rPr>
                <w:rFonts w:ascii="Times New Roman" w:hAnsi="Times New Roman"/>
                <w:sz w:val="28"/>
              </w:rPr>
              <w:t>автономного округа (далее – Управление)</w:t>
            </w:r>
          </w:p>
        </w:tc>
      </w:tr>
      <w:tr>
        <w:tc>
          <w:tcPr>
            <w:tcW w:type="dxa" w:w="3711"/>
          </w:tcPr>
          <w:p w14:paraId="0A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руководителя антикоррупционного органа</w:t>
            </w:r>
          </w:p>
        </w:tc>
        <w:tc>
          <w:tcPr>
            <w:tcW w:type="dxa" w:w="5927"/>
          </w:tcPr>
          <w:p w14:paraId="0B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Павлюкевич</w:t>
            </w:r>
            <w:r>
              <w:rPr>
                <w:rFonts w:ascii="Times New Roman" w:hAnsi="Times New Roman"/>
                <w:sz w:val="28"/>
              </w:rPr>
              <w:t xml:space="preserve"> Елена Михайловна, заместитель Руководителя Аппарата - начальник Управления по профилактике коррупционных и иных правонарушений Чукотского автономного округа</w:t>
            </w:r>
          </w:p>
        </w:tc>
      </w:tr>
      <w:tr>
        <w:tc>
          <w:tcPr>
            <w:tcW w:type="dxa" w:w="3711"/>
          </w:tcPr>
          <w:p w14:paraId="0C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антикоррупционного органа (штатная/фактическая)</w:t>
            </w:r>
          </w:p>
        </w:tc>
        <w:tc>
          <w:tcPr>
            <w:tcW w:type="dxa" w:w="5927"/>
          </w:tcPr>
          <w:p w14:paraId="0D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6/4</w:t>
            </w:r>
          </w:p>
        </w:tc>
      </w:tr>
    </w:tbl>
    <w:p w14:paraId="0E000000">
      <w:pPr>
        <w:pStyle w:val="Style_3"/>
        <w:ind w:firstLine="0" w:left="0"/>
      </w:pPr>
      <w:r>
        <w:t>Взаимодействие с высшим должностным лицом (руководителем высшего исполнительного органа государственной власти) субъекта Российской Федерации</w:t>
      </w:r>
    </w:p>
    <w:tbl>
      <w:tblPr>
        <w:tblStyle w:val="Style_2"/>
        <w:tblW w:type="auto" w:w="0"/>
        <w:tblLayout w:type="fixed"/>
      </w:tblPr>
      <w:tblGrid>
        <w:gridCol w:w="3711"/>
        <w:gridCol w:w="5927"/>
      </w:tblGrid>
      <w:tr>
        <w:tc>
          <w:tcPr>
            <w:tcW w:type="dxa" w:w="3711"/>
          </w:tcPr>
          <w:p w14:paraId="0F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рабочих встреч руководителя </w:t>
            </w:r>
            <w:r>
              <w:rPr>
                <w:rFonts w:ascii="Times New Roman" w:hAnsi="Times New Roman"/>
                <w:sz w:val="28"/>
              </w:rPr>
              <w:t>антикоррупционного органа с высшим должностным лицом субъекта (с указанием даты)</w:t>
            </w:r>
          </w:p>
        </w:tc>
        <w:tc>
          <w:tcPr>
            <w:tcW w:type="dxa" w:w="5927"/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проводились.</w:t>
            </w:r>
          </w:p>
        </w:tc>
      </w:tr>
      <w:tr>
        <w:tc>
          <w:tcPr>
            <w:tcW w:type="dxa" w:w="3711"/>
          </w:tcPr>
          <w:p w14:paraId="11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докладов высшему должностному лицу субъекта (тематика)</w:t>
            </w:r>
          </w:p>
        </w:tc>
        <w:tc>
          <w:tcPr>
            <w:tcW w:type="dxa" w:w="5927"/>
            <w:shd w:fill="auto" w:val="clear"/>
          </w:tcPr>
          <w:p w14:paraId="12000000">
            <w:pPr>
              <w:spacing w:after="0" w:line="240" w:lineRule="auto"/>
              <w:ind w:hanging="15" w:left="17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представлялись. </w:t>
            </w:r>
          </w:p>
        </w:tc>
      </w:tr>
    </w:tbl>
    <w:p w14:paraId="13000000">
      <w:pPr>
        <w:pStyle w:val="Style_3"/>
        <w:ind w:firstLine="0" w:left="0"/>
      </w:pPr>
      <w:r>
        <w:t>Деятельность антикоррупционного органа</w:t>
      </w:r>
    </w:p>
    <w:tbl>
      <w:tblPr>
        <w:tblStyle w:val="Style_2"/>
        <w:tblW w:type="auto" w:w="0"/>
        <w:tblLayout w:type="fixed"/>
      </w:tblPr>
      <w:tblGrid>
        <w:gridCol w:w="3686"/>
        <w:gridCol w:w="5952"/>
      </w:tblGrid>
      <w:tr>
        <w:tc>
          <w:tcPr>
            <w:tcW w:type="dxa" w:w="3686"/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проверках (мониторинг</w:t>
            </w:r>
            <w:r>
              <w:rPr>
                <w:rFonts w:ascii="Times New Roman" w:hAnsi="Times New Roman"/>
                <w:sz w:val="28"/>
              </w:rPr>
              <w:t xml:space="preserve">е) организации деятельности по профилактике коррупционных и иных правонарушений в органах исполнительной власти субъекта Российской Федерации и местного самоуправления, подведомственных организациях и </w:t>
            </w:r>
            <w:r>
              <w:rPr>
                <w:rFonts w:ascii="Times New Roman" w:hAnsi="Times New Roman"/>
                <w:sz w:val="28"/>
              </w:rPr>
              <w:t>учреждениях, иных организациях с государственным участи</w:t>
            </w:r>
            <w:r>
              <w:rPr>
                <w:rFonts w:ascii="Times New Roman" w:hAnsi="Times New Roman"/>
                <w:sz w:val="28"/>
              </w:rPr>
              <w:t>ем, а также об иных проведенных разъяснительных мероприятиях с указанными органами (организациями)</w:t>
            </w:r>
          </w:p>
        </w:tc>
        <w:tc>
          <w:tcPr>
            <w:tcW w:type="dxa" w:w="5952"/>
          </w:tcPr>
          <w:p w14:paraId="15000000">
            <w:pPr>
              <w:spacing w:after="0" w:line="240" w:lineRule="auto"/>
              <w:ind w:firstLine="181" w:left="0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Осуществлен мониторинг:</w:t>
            </w:r>
          </w:p>
          <w:p w14:paraId="16000000">
            <w:pPr>
              <w:spacing w:after="0" w:line="240" w:lineRule="auto"/>
              <w:ind w:firstLine="182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соблюдения гражданами, замещавшими должности государственной гражданской (муниципальной)</w:t>
            </w:r>
            <w:r>
              <w:rPr>
                <w:rFonts w:ascii="Times New Roman" w:hAnsi="Times New Roman"/>
                <w:sz w:val="28"/>
              </w:rPr>
              <w:t xml:space="preserve"> службы Чукотского автономного округа, отвечающие критериям, указанным в статье 12 Федерального закона «О противодействии коррупции», уволившихся в первом квартале 2024 года. Результаты мониторинга обобщены, информация направлена в прокуратуру Чукотского а</w:t>
            </w:r>
            <w:r>
              <w:rPr>
                <w:rFonts w:ascii="Times New Roman" w:hAnsi="Times New Roman"/>
                <w:sz w:val="28"/>
              </w:rPr>
              <w:t>втономного округа;</w:t>
            </w:r>
          </w:p>
          <w:p w14:paraId="17000000">
            <w:pPr>
              <w:spacing w:after="0" w:line="240" w:lineRule="auto"/>
              <w:ind w:firstLine="182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организации работы комиссии по соблюдению требований к служебному поведению и урегулированию конфликта интересов государственных гражданских (муниципальных) служащих в первом квартале 2024 года. Результаты мониторинга обобщены, информа</w:t>
            </w:r>
            <w:r>
              <w:rPr>
                <w:rFonts w:ascii="Times New Roman" w:hAnsi="Times New Roman"/>
                <w:sz w:val="28"/>
              </w:rPr>
              <w:t>ция направлена в прокуратуру Чукотского автономного округа;</w:t>
            </w:r>
          </w:p>
          <w:p w14:paraId="18000000">
            <w:pPr>
              <w:numPr>
                <w:ilvl w:val="0"/>
                <w:numId w:val="1"/>
              </w:numPr>
              <w:spacing w:after="0" w:line="240" w:lineRule="auto"/>
              <w:ind w:firstLine="0" w:left="0"/>
              <w:jc w:val="both"/>
            </w:pPr>
            <w:r>
              <w:rPr>
                <w:rFonts w:ascii="Times New Roman" w:hAnsi="Times New Roman"/>
                <w:sz w:val="28"/>
              </w:rPr>
              <w:t>организации работы по привлечению к дисциплинарной ответственности  служащих в связи с несоблюдением запретов, ограничений, обязанностей, предусмотренных антикоррупционным законодательством в перв</w:t>
            </w:r>
            <w:r>
              <w:rPr>
                <w:rFonts w:ascii="Times New Roman" w:hAnsi="Times New Roman"/>
                <w:sz w:val="28"/>
              </w:rPr>
              <w:t>ом квартале 2024 года. Результаты мониторинга обобщены, информация направлена в прокуратуру Чукотского автономного округа;</w:t>
            </w:r>
          </w:p>
          <w:p w14:paraId="19000000">
            <w:pPr>
              <w:pStyle w:val="Style_4"/>
              <w:ind w:firstLine="168" w:left="0"/>
              <w:jc w:val="both"/>
              <w:rPr>
                <w:u w:val="single"/>
              </w:rPr>
            </w:pPr>
            <w:r>
              <w:t>- правового регулирования порядка получения государственными гражданскими служащими Чукотского автономного округа разрешения представ</w:t>
            </w:r>
            <w:r>
              <w:t>ителя нанимателя участвовать на безвозмездной основе в управлении некоммерческими организациями</w:t>
            </w:r>
            <w:r>
              <w:t>.</w:t>
            </w:r>
          </w:p>
          <w:p w14:paraId="1A000000">
            <w:pPr>
              <w:pStyle w:val="Style_4"/>
              <w:ind w:firstLine="168" w:left="0"/>
              <w:jc w:val="both"/>
              <w:rPr>
                <w:u w:val="single"/>
              </w:rPr>
            </w:pPr>
          </w:p>
          <w:p w14:paraId="1B000000">
            <w:pPr>
              <w:pStyle w:val="Style_4"/>
              <w:ind w:firstLine="168" w:left="0"/>
              <w:jc w:val="both"/>
              <w:rPr>
                <w:u w:val="single"/>
              </w:rPr>
            </w:pPr>
            <w:r>
              <w:rPr>
                <w:u w:val="single"/>
              </w:rPr>
              <w:t>Осуществлен контроль: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- в соответствии с утвержденным Губернатором Чукотского автономного округа планом, осуществлен контроль за соблюдением законодательства </w:t>
            </w:r>
            <w:r>
              <w:rPr>
                <w:rFonts w:ascii="Times New Roman" w:hAnsi="Times New Roman"/>
                <w:sz w:val="28"/>
              </w:rPr>
              <w:t>Российской Федерации о противодействии коррупции и реализации мер по профилактике коррупционных правонарушений в Департаменте финансов и имущественных отношений Чукотского автономного округа. Результаты контроля будут направлены в проверяемый орган исполни</w:t>
            </w:r>
            <w:r>
              <w:rPr>
                <w:rFonts w:ascii="Times New Roman" w:hAnsi="Times New Roman"/>
                <w:sz w:val="28"/>
              </w:rPr>
              <w:t>тельный власти в установленные сроки;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исполнения соответствующих пунктов Программы профилактики и противодействия коррупции в Чукотском автономном округе на 2021-2024 годы и реализации мер по противодействию коррупции в исполнительных органах государстве</w:t>
            </w:r>
            <w:r>
              <w:rPr>
                <w:rFonts w:ascii="Times New Roman" w:hAnsi="Times New Roman"/>
                <w:sz w:val="28"/>
              </w:rPr>
              <w:t xml:space="preserve">нной власти и органах местного самоуправления Чукотского </w:t>
            </w:r>
            <w:r>
              <w:rPr>
                <w:rFonts w:ascii="Times New Roman" w:hAnsi="Times New Roman"/>
                <w:sz w:val="28"/>
              </w:rPr>
              <w:t>автономного округа в части их касающейся, со сроками исполнения в апреле 2024 года;</w:t>
            </w:r>
          </w:p>
          <w:p w14:paraId="1E000000">
            <w:pPr>
              <w:spacing w:after="0" w:line="240" w:lineRule="auto"/>
              <w:ind w:firstLine="168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исполнения решений Комиссии по координации работы по противодействию коррупции в Чукотском автономном округе испо</w:t>
            </w:r>
            <w:r>
              <w:rPr>
                <w:rFonts w:ascii="Times New Roman" w:hAnsi="Times New Roman"/>
                <w:sz w:val="28"/>
              </w:rPr>
              <w:t>лнительными органами государственной власти и органами местного самоуправления Чукотского автономного округа со сроками исполнения в апреле 2024 года.</w:t>
            </w:r>
          </w:p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Осуществлен детальный анализ: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- 15 (пятнадцати) справок о доходах, расходах об имуществе и </w:t>
            </w:r>
            <w:r>
              <w:rPr>
                <w:rFonts w:ascii="Times New Roman" w:hAnsi="Times New Roman"/>
                <w:sz w:val="28"/>
              </w:rPr>
              <w:t>обязательствах имущественного характера за отчетный 2023 год представленных в ходе декларационной кампании лицами, замещающими муниципальные должности и осуществляющие свои полномочия на постоянной основе, на себя и членов их семей;</w:t>
            </w:r>
          </w:p>
          <w:p w14:paraId="22000000">
            <w:pPr>
              <w:spacing w:after="0" w:line="240" w:lineRule="auto"/>
              <w:ind w:firstLine="181" w:left="0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- 82 (восьмидесяти двух</w:t>
            </w:r>
            <w:r>
              <w:rPr>
                <w:rFonts w:ascii="Times New Roman" w:hAnsi="Times New Roman"/>
                <w:sz w:val="28"/>
              </w:rPr>
              <w:t xml:space="preserve">) заявлений о </w:t>
            </w:r>
            <w:r>
              <w:rPr>
                <w:rFonts w:ascii="Times New Roman" w:hAnsi="Times New Roman"/>
                <w:sz w:val="28"/>
              </w:rPr>
              <w:t>несовершении</w:t>
            </w:r>
            <w:r>
              <w:rPr>
                <w:rFonts w:ascii="Times New Roman" w:hAnsi="Times New Roman"/>
                <w:sz w:val="28"/>
              </w:rPr>
              <w:t xml:space="preserve"> в 2023 году сделок, предусмотренных частью 1 статьи 3 Федерального закона от 3 декабря 2012 года №230-ФЗ, представленных в рамках декларационной кампании лицами, замещающими муниципальные должности депутатов представительных орга</w:t>
            </w:r>
            <w:r>
              <w:rPr>
                <w:rFonts w:ascii="Times New Roman" w:hAnsi="Times New Roman"/>
                <w:sz w:val="28"/>
              </w:rPr>
              <w:t>нов Чукотского автономного округа на себя и 131 (сто тридцати одного) члена семьи.</w:t>
            </w:r>
          </w:p>
          <w:p w14:paraId="23000000">
            <w:pPr>
              <w:spacing w:after="0" w:line="240" w:lineRule="auto"/>
              <w:ind w:firstLine="459" w:left="0"/>
              <w:jc w:val="both"/>
              <w:rPr>
                <w:rFonts w:ascii="Times New Roman" w:hAnsi="Times New Roman"/>
                <w:sz w:val="28"/>
              </w:rPr>
            </w:pPr>
          </w:p>
          <w:p w14:paraId="24000000">
            <w:pPr>
              <w:widowControl w:val="0"/>
              <w:spacing w:after="0" w:line="240" w:lineRule="auto"/>
              <w:ind w:firstLine="142" w:left="0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Проведены мероприятия:</w:t>
            </w:r>
          </w:p>
          <w:p w14:paraId="25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26 апреля 2024 года </w:t>
            </w:r>
            <w:r>
              <w:rPr>
                <w:rFonts w:ascii="Times New Roman" w:hAnsi="Times New Roman"/>
                <w:sz w:val="28"/>
              </w:rPr>
              <w:t>проведен семинар-совещание по вопросу предотвращения, выявления и урегулирования конфликта интересов на государственной гражданской и муниципальной службе</w:t>
            </w:r>
            <w:r>
              <w:rPr>
                <w:rFonts w:ascii="Times New Roman" w:hAnsi="Times New Roman"/>
                <w:sz w:val="28"/>
              </w:rPr>
              <w:t>. Участники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 xml:space="preserve"> - должностные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лица</w:t>
            </w:r>
            <w:r>
              <w:rPr>
                <w:rFonts w:ascii="Times New Roman" w:hAnsi="Times New Roman"/>
                <w:sz w:val="28"/>
              </w:rPr>
              <w:t>, ответственны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за работу по профилактике коррупционных и иных правонарушений </w:t>
            </w:r>
            <w:r>
              <w:rPr>
                <w:rFonts w:ascii="Times New Roman" w:hAnsi="Times New Roman"/>
                <w:sz w:val="28"/>
              </w:rPr>
              <w:t>орган</w:t>
            </w:r>
            <w:r>
              <w:rPr>
                <w:rFonts w:ascii="Times New Roman" w:hAnsi="Times New Roman"/>
                <w:sz w:val="28"/>
              </w:rPr>
              <w:t>ов</w:t>
            </w:r>
            <w:r>
              <w:rPr>
                <w:rFonts w:ascii="Times New Roman" w:hAnsi="Times New Roman"/>
                <w:sz w:val="28"/>
              </w:rPr>
              <w:t xml:space="preserve"> исполнительной вл</w:t>
            </w:r>
            <w:r>
              <w:rPr>
                <w:rFonts w:ascii="Times New Roman" w:hAnsi="Times New Roman"/>
                <w:sz w:val="28"/>
              </w:rPr>
              <w:t>асти</w:t>
            </w:r>
            <w:r>
              <w:rPr>
                <w:rFonts w:ascii="Times New Roman" w:hAnsi="Times New Roman"/>
                <w:sz w:val="28"/>
              </w:rPr>
              <w:t xml:space="preserve"> и </w:t>
            </w:r>
            <w:r>
              <w:rPr>
                <w:rFonts w:ascii="Times New Roman" w:hAnsi="Times New Roman"/>
                <w:sz w:val="28"/>
              </w:rPr>
              <w:t>орган</w:t>
            </w:r>
            <w:r>
              <w:rPr>
                <w:rFonts w:ascii="Times New Roman" w:hAnsi="Times New Roman"/>
                <w:sz w:val="28"/>
              </w:rPr>
              <w:t>ов</w:t>
            </w:r>
            <w:r>
              <w:rPr>
                <w:rFonts w:ascii="Times New Roman" w:hAnsi="Times New Roman"/>
                <w:sz w:val="28"/>
              </w:rPr>
              <w:t xml:space="preserve"> местного самоуправления Чукотского автономного округа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Осуществлена актуализация реес</w:t>
            </w:r>
            <w:r>
              <w:rPr>
                <w:rFonts w:ascii="Times New Roman" w:hAnsi="Times New Roman"/>
                <w:sz w:val="28"/>
              </w:rPr>
              <w:t xml:space="preserve">тра лиц, ответственных за противодействие коррупции в </w:t>
            </w:r>
            <w:r>
              <w:rPr>
                <w:rFonts w:ascii="Times New Roman" w:hAnsi="Times New Roman"/>
                <w:sz w:val="28"/>
              </w:rPr>
              <w:t xml:space="preserve">органах исполнительной власти и органах местного самоуправления, с учетом изменений  в штатном замещении органов власти. </w:t>
            </w:r>
          </w:p>
          <w:p w14:paraId="27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Осуществлена актуализация </w:t>
            </w:r>
            <w:r>
              <w:rPr>
                <w:rFonts w:ascii="Times New Roman" w:hAnsi="Times New Roman"/>
                <w:sz w:val="28"/>
              </w:rPr>
              <w:t>реестра (базы данных) нормативных правовых и иных акто</w:t>
            </w:r>
            <w:r>
              <w:rPr>
                <w:rFonts w:ascii="Times New Roman" w:hAnsi="Times New Roman"/>
                <w:sz w:val="28"/>
              </w:rPr>
              <w:t>в по вопросам противодействию коррупции, принятых органами исполнительной власти и органами местного самоуправления;</w:t>
            </w:r>
          </w:p>
          <w:p w14:paraId="28000000">
            <w:pPr>
              <w:spacing w:after="0" w:line="240" w:lineRule="auto"/>
              <w:ind w:firstLine="459" w:left="0"/>
              <w:jc w:val="both"/>
              <w:rPr>
                <w:rFonts w:ascii="Times New Roman" w:hAnsi="Times New Roman"/>
                <w:sz w:val="28"/>
              </w:rPr>
            </w:pPr>
          </w:p>
          <w:p w14:paraId="29000000">
            <w:pPr>
              <w:spacing w:after="0" w:line="240" w:lineRule="auto"/>
              <w:ind w:firstLine="142" w:left="0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Проведено 12 (двенадцать) консультаций по вопросам:</w:t>
            </w:r>
          </w:p>
          <w:p w14:paraId="2A000000">
            <w:pPr>
              <w:spacing w:after="0" w:line="240" w:lineRule="auto"/>
              <w:ind w:firstLine="175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содержания</w:t>
            </w:r>
            <w:r>
              <w:rPr>
                <w:rFonts w:ascii="Times New Roman" w:hAnsi="Times New Roman"/>
                <w:sz w:val="28"/>
              </w:rPr>
              <w:t xml:space="preserve"> сведений, вносимых в разделы справки о доходах, расходах, об имуществе и обязательствах имущественного характера; </w:t>
            </w:r>
          </w:p>
          <w:p w14:paraId="2B000000">
            <w:pPr>
              <w:spacing w:after="0" w:line="240" w:lineRule="auto"/>
              <w:ind w:firstLine="175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 сроках представления уточняющих сведений о доходах;</w:t>
            </w:r>
          </w:p>
          <w:p w14:paraId="2C000000">
            <w:pPr>
              <w:spacing w:after="0" w:line="240" w:lineRule="auto"/>
              <w:ind w:firstLine="175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количественных показателей в разделы  программного обеспечения «Мониторинг К – Экс</w:t>
            </w:r>
            <w:r>
              <w:rPr>
                <w:rFonts w:ascii="Times New Roman" w:hAnsi="Times New Roman"/>
                <w:sz w:val="28"/>
              </w:rPr>
              <w:t xml:space="preserve">пресс» и соответствие межстрочных показателей; </w:t>
            </w:r>
          </w:p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об участии государственного гражданского служащего в управлении коммерческой организации; </w:t>
            </w:r>
          </w:p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размещению сведений о состоявшихся заседаниях комиссии по соблюдению требований к служебному поведению и урегу</w:t>
            </w:r>
            <w:r>
              <w:rPr>
                <w:rFonts w:ascii="Times New Roman" w:hAnsi="Times New Roman"/>
                <w:sz w:val="28"/>
              </w:rPr>
              <w:t xml:space="preserve">лированию конфликта интересов; </w:t>
            </w:r>
          </w:p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 направлении уведомлений в соответствии с требованиями статьи 12 Федерального закона от 25</w:t>
            </w:r>
            <w:r>
              <w:rPr>
                <w:rFonts w:ascii="Times New Roman" w:hAnsi="Times New Roman"/>
                <w:sz w:val="28"/>
              </w:rPr>
              <w:t xml:space="preserve"> декабря </w:t>
            </w:r>
            <w:r>
              <w:rPr>
                <w:rFonts w:ascii="Times New Roman" w:hAnsi="Times New Roman"/>
                <w:sz w:val="28"/>
              </w:rPr>
              <w:t>2008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</w:rPr>
              <w:t xml:space="preserve">273-ФЗ «О противодействии коррупции»; </w:t>
            </w:r>
          </w:p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 утверждении в органе исполнительной власти положения о комиссии по соблюдени</w:t>
            </w:r>
            <w:r>
              <w:rPr>
                <w:rFonts w:ascii="Times New Roman" w:hAnsi="Times New Roman"/>
                <w:sz w:val="28"/>
              </w:rPr>
              <w:t xml:space="preserve">ю требований к служебному поведению и урегулированию конфликта интересов; </w:t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об участии в совете директоров коммерческой организации лицом, замещающим государственную должность; </w:t>
            </w:r>
          </w:p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об осуществлении руководителем организации работы </w:t>
            </w:r>
            <w:r>
              <w:rPr>
                <w:rFonts w:ascii="Times New Roman" w:hAnsi="Times New Roman"/>
                <w:sz w:val="28"/>
              </w:rPr>
              <w:t xml:space="preserve">на условиях </w:t>
            </w:r>
            <w:r>
              <w:rPr>
                <w:rFonts w:ascii="Times New Roman" w:hAnsi="Times New Roman"/>
                <w:sz w:val="28"/>
              </w:rPr>
              <w:t>внутренне</w:t>
            </w:r>
            <w:r>
              <w:rPr>
                <w:rFonts w:ascii="Times New Roman" w:hAnsi="Times New Roman"/>
                <w:sz w:val="28"/>
              </w:rPr>
              <w:t>го</w:t>
            </w:r>
            <w:r>
              <w:rPr>
                <w:rFonts w:ascii="Times New Roman" w:hAnsi="Times New Roman"/>
                <w:sz w:val="28"/>
              </w:rPr>
              <w:t xml:space="preserve"> совместите</w:t>
            </w:r>
            <w:r>
              <w:rPr>
                <w:rFonts w:ascii="Times New Roman" w:hAnsi="Times New Roman"/>
                <w:sz w:val="28"/>
              </w:rPr>
              <w:t>льств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в этой же организации без согласования с учредителем. </w:t>
            </w:r>
          </w:p>
          <w:p w14:paraId="33000000">
            <w:pPr>
              <w:pStyle w:val="Style_5"/>
              <w:ind w:firstLine="175" w:left="0"/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М</w:t>
            </w:r>
            <w:r>
              <w:rPr>
                <w:sz w:val="28"/>
                <w:u w:val="single"/>
              </w:rPr>
              <w:t>етодическое обеспечение:</w:t>
            </w:r>
          </w:p>
          <w:p w14:paraId="34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bookmarkStart w:id="1" w:name="_Hlk146192152"/>
            <w:bookmarkEnd w:id="1"/>
            <w:r>
              <w:rPr>
                <w:rFonts w:ascii="Times New Roman" w:hAnsi="Times New Roman"/>
                <w:sz w:val="28"/>
              </w:rPr>
              <w:t>Подготовлены</w:t>
            </w:r>
            <w:r>
              <w:rPr>
                <w:rFonts w:ascii="Times New Roman" w:hAnsi="Times New Roman"/>
                <w:sz w:val="28"/>
              </w:rPr>
              <w:t xml:space="preserve"> для использования в служебной деятельности органов исполнительной и муниципальной власти:</w:t>
            </w:r>
          </w:p>
          <w:p w14:paraId="35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памятка «Урегулирование конфликта интересов на государственной гражданской и муниципально</w:t>
            </w:r>
            <w:r>
              <w:rPr>
                <w:rFonts w:ascii="Times New Roman" w:hAnsi="Times New Roman"/>
                <w:sz w:val="28"/>
              </w:rPr>
              <w:t xml:space="preserve">й службе», </w:t>
            </w:r>
          </w:p>
          <w:p w14:paraId="3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сборник «Примеры ситуаций конфликта интересов на государственной гражданской (муниципальной) службе и порядка их урегулирования», </w:t>
            </w:r>
          </w:p>
          <w:p w14:paraId="37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сборник «Обзоры практики применения </w:t>
            </w:r>
            <w:r>
              <w:rPr>
                <w:rFonts w:ascii="Times New Roman" w:hAnsi="Times New Roman"/>
                <w:sz w:val="28"/>
              </w:rPr>
              <w:t>законодательства Российской Федерации о противодействии коррупции по вопросам п</w:t>
            </w:r>
            <w:r>
              <w:rPr>
                <w:rFonts w:ascii="Times New Roman" w:hAnsi="Times New Roman"/>
                <w:sz w:val="28"/>
              </w:rPr>
              <w:t xml:space="preserve">редотвращения и урегулирования конфликта интересов», подготовленные </w:t>
            </w:r>
            <w:r>
              <w:rPr>
                <w:rFonts w:ascii="Times New Roman" w:hAnsi="Times New Roman"/>
                <w:sz w:val="28"/>
              </w:rPr>
              <w:t>Министерством труда и социальной защиты Российской Федерации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38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презентация «Предотвращение, выявление и урегулирование конфликта интересов на государственной гражданской 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r>
              <w:rPr>
                <w:rFonts w:ascii="Times New Roman" w:hAnsi="Times New Roman"/>
                <w:sz w:val="28"/>
              </w:rPr>
              <w:t>муниципальной службе»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39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  <w:shd w:fill="FFE779" w:val="clear"/>
              </w:rPr>
            </w:pPr>
          </w:p>
          <w:p w14:paraId="3A000000">
            <w:pPr>
              <w:widowControl w:val="0"/>
              <w:spacing w:after="0" w:line="240" w:lineRule="auto"/>
              <w:ind w:firstLine="175" w:left="0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Профессиональное обучение:</w:t>
            </w:r>
          </w:p>
          <w:p w14:paraId="3B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 органы исполнительной и муниципальной власти округа направлена информация о возможности получения дополнительного профессионального образования сотрудниками, ответственными за работу по профилактике коррупционных и иных </w:t>
            </w:r>
            <w:r>
              <w:rPr>
                <w:rFonts w:ascii="Times New Roman" w:hAnsi="Times New Roman"/>
                <w:sz w:val="28"/>
              </w:rPr>
              <w:t>правонарушений, в ГУП КК «Центр информационных технологий», АНО ДПО «Межрегиональный центр делового профессионального развития», АНО ДПО Учебно-методический центр «</w:t>
            </w:r>
            <w:r>
              <w:rPr>
                <w:rFonts w:ascii="Times New Roman" w:hAnsi="Times New Roman"/>
                <w:sz w:val="28"/>
              </w:rPr>
              <w:t>Финконт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  <w:tr>
        <w:tc>
          <w:tcPr>
            <w:tcW w:type="dxa" w:w="3686"/>
          </w:tcPr>
          <w:p w14:paraId="3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об участии в работе комиссий по соблюдению требований к служебному </w:t>
            </w:r>
            <w:r>
              <w:rPr>
                <w:rFonts w:ascii="Times New Roman" w:hAnsi="Times New Roman"/>
                <w:sz w:val="28"/>
              </w:rPr>
              <w:t xml:space="preserve">поведению и урегулированию конфликта интересов, образованных в органах исполнительной власти субъекта Российской </w:t>
            </w:r>
            <w:r>
              <w:rPr>
                <w:rFonts w:ascii="Times New Roman" w:hAnsi="Times New Roman"/>
                <w:sz w:val="28"/>
              </w:rPr>
              <w:t>Федерации и местного самоуправления</w:t>
            </w:r>
          </w:p>
        </w:tc>
        <w:tc>
          <w:tcPr>
            <w:tcW w:type="dxa" w:w="5952"/>
          </w:tcPr>
          <w:p w14:paraId="3D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не принимали.</w:t>
            </w:r>
          </w:p>
          <w:p w14:paraId="3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86"/>
          </w:tcPr>
          <w:p w14:paraId="3F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деятельности по взаимодействию с общественностью, научно-практической и </w:t>
            </w:r>
            <w:r>
              <w:rPr>
                <w:rFonts w:ascii="Times New Roman" w:hAnsi="Times New Roman"/>
                <w:sz w:val="28"/>
              </w:rPr>
              <w:t>просветительской деятельности</w:t>
            </w:r>
          </w:p>
        </w:tc>
        <w:tc>
          <w:tcPr>
            <w:tcW w:type="dxa" w:w="5952"/>
          </w:tcPr>
          <w:p w14:paraId="40000000">
            <w:pPr>
              <w:numPr>
                <w:ilvl w:val="0"/>
                <w:numId w:val="4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 апреля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– встреча с </w:t>
            </w:r>
            <w:r>
              <w:rPr>
                <w:rFonts w:ascii="Times New Roman" w:hAnsi="Times New Roman"/>
                <w:sz w:val="28"/>
              </w:rPr>
              <w:t>воспитанниками Государственного казённого учреждения социального обслуживания «Чукотский социально-реабилитационный центр для несовершеннолетних»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тематическая беседа на тему: «Что такое коррупция?» </w:t>
            </w:r>
            <w:r>
              <w:rPr>
                <w:rFonts w:ascii="Times New Roman" w:hAnsi="Times New Roman"/>
                <w:sz w:val="28"/>
              </w:rPr>
              <w:t>и ознакомительная беседа о деятельности Управления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41000000">
            <w:pPr>
              <w:numPr>
                <w:ilvl w:val="0"/>
                <w:numId w:val="4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16 апреля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со</w:t>
            </w:r>
            <w:r>
              <w:rPr>
                <w:rFonts w:ascii="Times New Roman" w:hAnsi="Times New Roman"/>
                <w:sz w:val="28"/>
              </w:rPr>
              <w:t>трудники Управления по профилактике коррупционных и иных правонарушений приняли участие в практическом семинаре-тренинге по теме «Эффективные коммуникации», организованном Сбербанком России в рамках заключенного соглашения между Правительством Чукотского а</w:t>
            </w:r>
            <w:r>
              <w:rPr>
                <w:rFonts w:ascii="Times New Roman" w:hAnsi="Times New Roman"/>
                <w:sz w:val="28"/>
              </w:rPr>
              <w:t>втономного округа и ПАО «Сбербанк России».</w:t>
            </w:r>
          </w:p>
        </w:tc>
      </w:tr>
      <w:tr>
        <w:trPr>
          <w:trHeight w:hRule="atLeast" w:val="1635"/>
        </w:trPr>
        <w:tc>
          <w:tcPr>
            <w:tcW w:type="dxa" w:w="3686"/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деятельности по информированию общественности о результатах антикоррупционной работы (работа со СМИ) </w:t>
            </w:r>
          </w:p>
        </w:tc>
        <w:tc>
          <w:tcPr>
            <w:tcW w:type="dxa" w:w="5952"/>
          </w:tcPr>
          <w:p w14:paraId="43000000">
            <w:pPr>
              <w:spacing w:after="0" w:line="240" w:lineRule="auto"/>
              <w:ind w:firstLine="142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отчетном периоде в разделе «Противодействие коррупции» официального сайта Чукотского автономного </w:t>
            </w:r>
            <w:r>
              <w:rPr>
                <w:rFonts w:ascii="Times New Roman" w:hAnsi="Times New Roman"/>
                <w:sz w:val="28"/>
              </w:rPr>
              <w:t xml:space="preserve">округа ЧУКОТКА.РФ размещены следующие материалы: </w:t>
            </w:r>
          </w:p>
          <w:p w14:paraId="44000000">
            <w:pPr>
              <w:spacing w:after="0" w:line="240" w:lineRule="auto"/>
              <w:ind w:firstLine="142" w:left="0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в подразделе «Новости»:</w:t>
            </w:r>
          </w:p>
          <w:p w14:paraId="45000000">
            <w:pPr>
              <w:pStyle w:val="Style_6"/>
              <w:spacing w:before="0" w:line="240" w:lineRule="auto"/>
              <w:ind/>
              <w:rPr>
                <w:rFonts w:ascii="Open Sans" w:hAnsi="Open Sans"/>
                <w:color w:val="1C1C1C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«Детям 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коррупции»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- о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встрече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</w:rPr>
              <w:t>воспитанниками Государственного казённого учреждения социального обслуживания «Чукотский социально-реабилитационный центр для несовершеннолетних»</w:t>
            </w:r>
            <w:r>
              <w:rPr>
                <w:rFonts w:ascii="Open Sans" w:hAnsi="Open Sans"/>
                <w:color w:val="1C1C1C"/>
              </w:rPr>
              <w:t xml:space="preserve"> </w:t>
            </w:r>
          </w:p>
          <w:p w14:paraId="46000000">
            <w:pPr>
              <w:spacing w:after="0" w:line="240" w:lineRule="auto"/>
              <w:ind w:firstLine="34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7_ch"/>
                <w:rFonts w:ascii="Times New Roman" w:hAnsi="Times New Roman"/>
                <w:sz w:val="28"/>
              </w:rPr>
              <w:instrText>HYPERLINK "https://чукотка.рф/gossluzhba/antikorruptsionnaya-deyatelnost/novosti/?ELEMENT_ID=19155"</w:instrText>
            </w:r>
            <w:r>
              <w:rPr>
                <w:rStyle w:val="Style_7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7_ch"/>
                <w:rFonts w:ascii="Times New Roman" w:hAnsi="Times New Roman"/>
                <w:sz w:val="28"/>
              </w:rPr>
              <w:t>https://чукотка.рф/gossluzhba/antikorruptsionnaya-deyatelnost/novosti/?ELEMENT_ID=19155</w:t>
            </w:r>
            <w:r>
              <w:rPr>
                <w:rStyle w:val="Style_7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47000000">
            <w:pPr>
              <w:spacing w:after="0" w:line="240" w:lineRule="auto"/>
              <w:ind w:firstLine="142" w:left="0"/>
              <w:jc w:val="both"/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Тре</w:t>
            </w:r>
            <w:r>
              <w:rPr>
                <w:rFonts w:ascii="Times New Roman" w:hAnsi="Times New Roman"/>
                <w:sz w:val="28"/>
              </w:rPr>
              <w:t xml:space="preserve">нинг «Эффективные коммуникации» -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 xml:space="preserve"> участии </w:t>
            </w:r>
            <w:r>
              <w:rPr>
                <w:rFonts w:ascii="Times New Roman" w:hAnsi="Times New Roman"/>
                <w:sz w:val="28"/>
              </w:rPr>
              <w:t xml:space="preserve">сотрудников Управления </w:t>
            </w:r>
            <w:r>
              <w:rPr>
                <w:rFonts w:ascii="Times New Roman" w:hAnsi="Times New Roman"/>
                <w:sz w:val="28"/>
              </w:rPr>
              <w:t>в практическом семинаре-тренинге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организованном Сбербанком России</w:t>
            </w:r>
          </w:p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7_ch"/>
                <w:rFonts w:ascii="Times New Roman" w:hAnsi="Times New Roman"/>
                <w:sz w:val="28"/>
              </w:rPr>
              <w:instrText>HYPERLINK "https://чукотка.рф/gossluzhba/antikorruptsionnaya-deyatelnost/novosti/?ELEMENT_ID=19156"</w:instrText>
            </w:r>
            <w:r>
              <w:rPr>
                <w:rStyle w:val="Style_7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7_ch"/>
                <w:rFonts w:ascii="Times New Roman" w:hAnsi="Times New Roman"/>
                <w:sz w:val="28"/>
              </w:rPr>
              <w:t>https://чукотка.рф/gossluzhba/antikorruptsionnaya-deyatelnost/novosti/?ELEMENT_ID=19156</w:t>
            </w:r>
            <w:r>
              <w:rPr>
                <w:rStyle w:val="Style_7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49000000">
            <w:pPr>
              <w:spacing w:after="0" w:line="240" w:lineRule="auto"/>
              <w:ind w:firstLine="142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«Конфликт интересов – основа коррупционных правонарушений» - </w:t>
            </w:r>
            <w:r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z w:val="28"/>
              </w:rPr>
              <w:t xml:space="preserve">проведении семинара-совещания </w:t>
            </w:r>
            <w:r>
              <w:rPr>
                <w:rStyle w:val="Style_7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7_ch"/>
                <w:rFonts w:ascii="Times New Roman" w:hAnsi="Times New Roman"/>
                <w:sz w:val="28"/>
              </w:rPr>
              <w:instrText>HYPERLINK "https://чукотка.рф/gossluzhba/antikorruptsionnaya-deyatelnost/novosti/?ELEMENT_ID=19214"</w:instrText>
            </w:r>
            <w:r>
              <w:rPr>
                <w:rStyle w:val="Style_7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7_ch"/>
                <w:rFonts w:ascii="Times New Roman" w:hAnsi="Times New Roman"/>
                <w:sz w:val="28"/>
              </w:rPr>
              <w:t>https://чукотка.рф/gossluzhba/antikorruptsionnaya-deyatelnost/novosti/?ELEMENT_ID=19214</w:t>
            </w:r>
            <w:r>
              <w:rPr>
                <w:rStyle w:val="Style_7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; </w:t>
            </w:r>
          </w:p>
          <w:p w14:paraId="4A000000">
            <w:pPr>
              <w:spacing w:after="0" w:line="240" w:lineRule="auto"/>
              <w:ind w:firstLine="142" w:left="0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в подразделе «Нормативные правовые и ины</w:t>
            </w:r>
            <w:r>
              <w:rPr>
                <w:rFonts w:ascii="Times New Roman" w:hAnsi="Times New Roman"/>
                <w:sz w:val="28"/>
                <w:u w:val="single"/>
              </w:rPr>
              <w:t>е акты в сфере противодействия коррупции»:</w:t>
            </w:r>
          </w:p>
          <w:p w14:paraId="4B000000">
            <w:pPr>
              <w:spacing w:after="0" w:line="240" w:lineRule="auto"/>
              <w:ind w:firstLine="142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Обзор изменений законодательства в сфере противодействия коррупции за 1 квартал 2024 года</w:t>
            </w:r>
          </w:p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FF"/>
                <w:sz w:val="28"/>
                <w:u w:val="single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7_ch"/>
                <w:rFonts w:ascii="Times New Roman" w:hAnsi="Times New Roman"/>
                <w:sz w:val="28"/>
              </w:rPr>
              <w:instrText>HYPERLINK "https://чукотка.рф/files/docs/Обзор%201%20кв%202024_agip.docx"</w:instrText>
            </w:r>
            <w:r>
              <w:rPr>
                <w:rStyle w:val="Style_7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7_ch"/>
                <w:rFonts w:ascii="Times New Roman" w:hAnsi="Times New Roman"/>
                <w:sz w:val="28"/>
              </w:rPr>
              <w:t>https://чукотка.рф/files/docs/Обзор%201%20кв%20</w:t>
            </w:r>
            <w:r>
              <w:rPr>
                <w:rStyle w:val="Style_7_ch"/>
                <w:rFonts w:ascii="Times New Roman" w:hAnsi="Times New Roman"/>
                <w:sz w:val="28"/>
              </w:rPr>
              <w:t>2024_agip.doc</w:t>
            </w:r>
            <w:r>
              <w:rPr>
                <w:rStyle w:val="Style_7_ch"/>
                <w:rFonts w:ascii="Times New Roman" w:hAnsi="Times New Roman"/>
                <w:sz w:val="28"/>
              </w:rPr>
              <w:t>x</w:t>
            </w:r>
            <w:r>
              <w:rPr>
                <w:rStyle w:val="Style_7_ch"/>
                <w:rFonts w:ascii="Times New Roman" w:hAnsi="Times New Roman"/>
                <w:sz w:val="28"/>
              </w:rPr>
              <w:fldChar w:fldCharType="end"/>
            </w:r>
          </w:p>
          <w:p w14:paraId="4D000000">
            <w:pPr>
              <w:numPr>
                <w:ilvl w:val="0"/>
                <w:numId w:val="5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Реестр локальных правовых актов по вопросам противодействия коррупции, принятых органами исполнительной власти </w:t>
            </w: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7_ch"/>
                <w:rFonts w:ascii="Times New Roman" w:hAnsi="Times New Roman"/>
                <w:sz w:val="28"/>
              </w:rPr>
              <w:instrText>HYPERLINK "https://чукотка.рф/files/docs/Реестр%20ЛПА%20ОИВ%20%2001.04.2024%20(с).xlsx"</w:instrText>
            </w:r>
            <w:r>
              <w:rPr>
                <w:rStyle w:val="Style_7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7_ch"/>
                <w:rFonts w:ascii="Times New Roman" w:hAnsi="Times New Roman"/>
                <w:sz w:val="28"/>
              </w:rPr>
              <w:t>https://чукотка.рф/files/docs/Реестр%20ЛПА%20ОИВ%20%2001.04.2024%20(с).xlsx</w:t>
            </w:r>
            <w:r>
              <w:rPr>
                <w:rStyle w:val="Style_7_ch"/>
                <w:rFonts w:ascii="Times New Roman" w:hAnsi="Times New Roman"/>
                <w:sz w:val="28"/>
              </w:rPr>
              <w:fldChar w:fldCharType="end"/>
            </w:r>
          </w:p>
          <w:p w14:paraId="4F000000">
            <w:pPr>
              <w:numPr>
                <w:ilvl w:val="0"/>
                <w:numId w:val="5"/>
              </w:numPr>
              <w:spacing w:after="0" w:line="240" w:lineRule="auto"/>
              <w:ind w:firstLine="0" w:left="0"/>
              <w:jc w:val="both"/>
            </w:pPr>
            <w:r>
              <w:rPr>
                <w:rFonts w:ascii="Times New Roman" w:hAnsi="Times New Roman"/>
                <w:sz w:val="28"/>
              </w:rPr>
              <w:t>Реестр муниципальных правовых актов по вопросам противодействия коррупции, принятых органами местного самоуправления.</w:t>
            </w:r>
          </w:p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7_ch"/>
                <w:rFonts w:ascii="Times New Roman" w:hAnsi="Times New Roman"/>
                <w:sz w:val="28"/>
              </w:rPr>
              <w:instrText>HYPERLINK "https://чукотка.рф/files/docs/Реестр%20МПА%20ОМСУ%2001.04.2024%20(с).xlsx"</w:instrText>
            </w:r>
            <w:r>
              <w:rPr>
                <w:rStyle w:val="Style_7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7_ch"/>
                <w:rFonts w:ascii="Times New Roman" w:hAnsi="Times New Roman"/>
                <w:sz w:val="28"/>
              </w:rPr>
              <w:t>https://чукотка.рф/files/docs/Реестр%20МПА%20ОМСУ%2001.04.2024%20(с).xlsx</w:t>
            </w:r>
            <w:r>
              <w:rPr>
                <w:rStyle w:val="Style_7_ch"/>
                <w:rFonts w:ascii="Times New Roman" w:hAnsi="Times New Roman"/>
                <w:sz w:val="28"/>
              </w:rPr>
              <w:fldChar w:fldCharType="end"/>
            </w:r>
          </w:p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 вкладке </w:t>
            </w:r>
            <w:r>
              <w:rPr>
                <w:rFonts w:ascii="Times New Roman" w:hAnsi="Times New Roman"/>
                <w:sz w:val="28"/>
                <w:u w:val="single"/>
              </w:rPr>
              <w:t>«</w:t>
            </w:r>
            <w:r>
              <w:rPr>
                <w:rFonts w:ascii="Times New Roman" w:hAnsi="Times New Roman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u w:val="single"/>
              </w:rPr>
              <w:instrText>HYPERLINK "https://xn--80atapud1a.xn--p1ai/gossluzhba/antikorruptsionnaya-deyatelnost/doklady-otchyety-obzory-statisticheskaya-informatsiya.php"</w:instrText>
            </w:r>
            <w:r>
              <w:rPr>
                <w:rFonts w:ascii="Times New Roman" w:hAnsi="Times New Roman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u w:val="single"/>
              </w:rPr>
              <w:t>Доклады, отчёты, обзоры, статистическая информация</w:t>
            </w:r>
            <w:r>
              <w:rPr>
                <w:rFonts w:ascii="Times New Roman" w:hAnsi="Times New Roman"/>
                <w:sz w:val="2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8"/>
                <w:u w:val="single"/>
              </w:rPr>
              <w:t>»:</w:t>
            </w:r>
          </w:p>
          <w:p w14:paraId="52000000">
            <w:pPr>
              <w:spacing w:after="0" w:line="240" w:lineRule="auto"/>
              <w:ind w:firstLine="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информация о деятельности Управления за март 2024 года.</w:t>
            </w:r>
          </w:p>
          <w:p w14:paraId="53000000">
            <w:pPr>
              <w:spacing w:after="0" w:line="240" w:lineRule="auto"/>
              <w:ind w:firstLine="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7_ch"/>
                <w:rFonts w:ascii="Times New Roman" w:hAnsi="Times New Roman"/>
                <w:sz w:val="28"/>
              </w:rPr>
              <w:instrText>HYPERLINK "https://чукотка.рф/files/docs/Чукотка_март.docx"</w:instrText>
            </w:r>
            <w:r>
              <w:rPr>
                <w:rStyle w:val="Style_7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7_ch"/>
                <w:rFonts w:ascii="Times New Roman" w:hAnsi="Times New Roman"/>
                <w:sz w:val="28"/>
              </w:rPr>
              <w:t>https://чукотка.рф/files/docs/Чукотка_март.docx</w:t>
            </w:r>
            <w:r>
              <w:rPr>
                <w:rStyle w:val="Style_7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rPr>
          <w:trHeight w:hRule="atLeast" w:val="699"/>
        </w:trPr>
        <w:tc>
          <w:tcPr>
            <w:tcW w:type="dxa" w:w="3686"/>
          </w:tcPr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нормотворческой деятельности</w:t>
            </w:r>
          </w:p>
        </w:tc>
        <w:tc>
          <w:tcPr>
            <w:tcW w:type="dxa" w:w="5952"/>
          </w:tcPr>
          <w:p w14:paraId="55000000">
            <w:pPr>
              <w:pStyle w:val="Style_8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инициативе Управления:</w:t>
            </w:r>
          </w:p>
          <w:p w14:paraId="56000000">
            <w:pPr>
              <w:pStyle w:val="Style_8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осуществляется процедура согласования проекта приказа Аппарата Губернатора и Правительства Чукотского автономного округа «О внесении измен</w:t>
            </w:r>
            <w:r>
              <w:rPr>
                <w:rFonts w:ascii="Times New Roman" w:hAnsi="Times New Roman"/>
                <w:sz w:val="28"/>
              </w:rPr>
              <w:t>ений в приказ от 10</w:t>
            </w:r>
            <w:r>
              <w:rPr>
                <w:rFonts w:ascii="Times New Roman" w:hAnsi="Times New Roman"/>
                <w:sz w:val="28"/>
              </w:rPr>
              <w:t xml:space="preserve"> августа </w:t>
            </w:r>
            <w:r>
              <w:rPr>
                <w:rFonts w:ascii="Times New Roman" w:hAnsi="Times New Roman"/>
                <w:sz w:val="28"/>
              </w:rPr>
              <w:t>2023 №122-од» ;</w:t>
            </w:r>
          </w:p>
          <w:p w14:paraId="57000000">
            <w:pPr>
              <w:pStyle w:val="Style_8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осуществляется процедура согласования проекта Постановления Губернатора Чукотского автономного округа «О внесении изменений в Постановление Губернатора Чукотского автономного округа от 15 июля 2015 года № 57».</w:t>
            </w:r>
          </w:p>
        </w:tc>
      </w:tr>
    </w:tbl>
    <w:p w14:paraId="58000000">
      <w:pPr>
        <w:pStyle w:val="Style_3"/>
      </w:pPr>
      <w:r>
        <w:t>Резу</w:t>
      </w:r>
      <w:r>
        <w:t>льтаты работы по выявлению случаев несоблюдения требований о предотвращении или об урегулировании конфликта интересов, а также запретов и ограничений, установленных в целях противодействия коррупции</w:t>
      </w:r>
    </w:p>
    <w:tbl>
      <w:tblPr>
        <w:tblStyle w:val="Style_2"/>
        <w:tblW w:type="auto" w:w="0"/>
        <w:tblLayout w:type="fixed"/>
      </w:tblPr>
      <w:tblGrid>
        <w:gridCol w:w="3849"/>
        <w:gridCol w:w="5789"/>
      </w:tblGrid>
      <w:tr>
        <w:tc>
          <w:tcPr>
            <w:tcW w:type="dxa" w:w="9638"/>
            <w:gridSpan w:val="2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Проверки соблюдения требований о предотвращении или об ур</w:t>
            </w:r>
            <w:r>
              <w:rPr>
                <w:rFonts w:ascii="Times New Roman" w:hAnsi="Times New Roman"/>
                <w:b w:val="1"/>
                <w:sz w:val="28"/>
              </w:rPr>
              <w:t>егулировании конфликта интересов, возможности его возникновения</w:t>
            </w:r>
          </w:p>
        </w:tc>
      </w:tr>
      <w:tr>
        <w:tc>
          <w:tcPr>
            <w:tcW w:type="dxa" w:w="3849"/>
          </w:tcPr>
          <w:p w14:paraId="5A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type="dxa" w:w="5789"/>
          </w:tcPr>
          <w:p w14:paraId="5B000000">
            <w:pPr>
              <w:spacing w:line="240" w:lineRule="auto"/>
              <w:ind w:firstLine="1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назначались.</w:t>
            </w:r>
          </w:p>
        </w:tc>
      </w:tr>
      <w:tr>
        <w:tc>
          <w:tcPr>
            <w:tcW w:type="dxa" w:w="3849"/>
          </w:tcPr>
          <w:p w14:paraId="5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проверок </w:t>
            </w:r>
          </w:p>
        </w:tc>
        <w:tc>
          <w:tcPr>
            <w:tcW w:type="dxa" w:w="5789"/>
          </w:tcPr>
          <w:p w14:paraId="5D000000">
            <w:pPr>
              <w:spacing w:line="240" w:lineRule="auto"/>
              <w:ind w:firstLine="1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8"/>
            <w:gridSpan w:val="2"/>
          </w:tcPr>
          <w:p w14:paraId="5E000000">
            <w:pPr>
              <w:spacing w:after="0" w:line="240" w:lineRule="auto"/>
              <w:ind w:firstLine="30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Проверки соблюдения запретов и ограничений, установленных в целях </w:t>
            </w:r>
            <w:r>
              <w:rPr>
                <w:rFonts w:ascii="Times New Roman" w:hAnsi="Times New Roman"/>
                <w:b w:val="1"/>
                <w:sz w:val="28"/>
              </w:rPr>
              <w:t>противодействия коррупции</w:t>
            </w:r>
          </w:p>
        </w:tc>
      </w:tr>
      <w:tr>
        <w:tc>
          <w:tcPr>
            <w:tcW w:type="dxa" w:w="3849"/>
          </w:tcPr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type="dxa" w:w="5789"/>
          </w:tcPr>
          <w:p w14:paraId="60000000">
            <w:pPr>
              <w:tabs>
                <w:tab w:leader="none" w:pos="1134" w:val="left"/>
              </w:tabs>
              <w:spacing w:after="0" w:line="240" w:lineRule="auto"/>
              <w:ind w:firstLine="0" w:left="12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назначались.</w:t>
            </w:r>
          </w:p>
        </w:tc>
      </w:tr>
      <w:tr>
        <w:tc>
          <w:tcPr>
            <w:tcW w:type="dxa" w:w="3849"/>
          </w:tcPr>
          <w:p w14:paraId="61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проверок</w:t>
            </w:r>
          </w:p>
        </w:tc>
        <w:tc>
          <w:tcPr>
            <w:tcW w:type="dxa" w:w="5789"/>
          </w:tcPr>
          <w:p w14:paraId="62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8"/>
            <w:gridSpan w:val="2"/>
          </w:tcPr>
          <w:p w14:paraId="63000000">
            <w:pPr>
              <w:spacing w:after="0" w:line="240" w:lineRule="auto"/>
              <w:ind w:firstLine="142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Мероприятия, проведенные в соответствии с утвержденным планом мероприятий по противодействию коррупции в </w:t>
            </w:r>
            <w:r>
              <w:rPr>
                <w:rFonts w:ascii="Times New Roman" w:hAnsi="Times New Roman"/>
                <w:b w:val="1"/>
                <w:sz w:val="28"/>
              </w:rPr>
              <w:t>субъекте Российской Федерации</w:t>
            </w:r>
          </w:p>
        </w:tc>
      </w:tr>
      <w:tr>
        <w:trPr>
          <w:trHeight w:hRule="atLeast" w:val="414"/>
        </w:trPr>
        <w:tc>
          <w:tcPr>
            <w:tcW w:type="dxa" w:w="3849"/>
          </w:tcPr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части направленных на предотвращение и урегулирование конфликта интересов.</w:t>
            </w:r>
          </w:p>
        </w:tc>
        <w:tc>
          <w:tcPr>
            <w:tcW w:type="dxa" w:w="5789"/>
            <w:vMerge w:val="restart"/>
          </w:tcPr>
          <w:p w14:paraId="6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 детальный анализ сведений о доходах, расходах, об имуществе и обязательствах имущественного характера и иной информации в целях выявления</w:t>
            </w:r>
            <w:r>
              <w:rPr>
                <w:rFonts w:ascii="Times New Roman" w:hAnsi="Times New Roman"/>
                <w:sz w:val="28"/>
              </w:rPr>
              <w:t xml:space="preserve"> признаков возможного конфликта интересов.</w:t>
            </w:r>
          </w:p>
          <w:p w14:paraId="66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 xml:space="preserve"> апреля -</w:t>
            </w:r>
            <w:r>
              <w:rPr>
                <w:rFonts w:ascii="Times New Roman" w:hAnsi="Times New Roman"/>
                <w:sz w:val="28"/>
              </w:rPr>
              <w:t xml:space="preserve"> заместитель начальника Управления принял участие в рабочем совещании с участием первого заместителя  Губернатора и руководителей Департамента финансов и имущественных отношений и Департамента здравоохранения по вопросу замещения сотрудниками Деп</w:t>
            </w:r>
            <w:r>
              <w:rPr>
                <w:rFonts w:ascii="Times New Roman" w:hAnsi="Times New Roman"/>
                <w:sz w:val="28"/>
              </w:rPr>
              <w:t>артамента здравоохранения должностей в ООО "</w:t>
            </w:r>
            <w:r>
              <w:rPr>
                <w:rFonts w:ascii="Times New Roman" w:hAnsi="Times New Roman"/>
                <w:sz w:val="28"/>
              </w:rPr>
              <w:t>Чукотфармация</w:t>
            </w:r>
            <w:r>
              <w:rPr>
                <w:rFonts w:ascii="Times New Roman" w:hAnsi="Times New Roman"/>
                <w:sz w:val="28"/>
              </w:rPr>
              <w:t xml:space="preserve">" </w:t>
            </w:r>
            <w:bookmarkStart w:id="2" w:name="_GoBack"/>
            <w:bookmarkEnd w:id="2"/>
          </w:p>
        </w:tc>
      </w:tr>
      <w:tr>
        <w:tc>
          <w:tcPr>
            <w:tcW w:type="dxa" w:w="3849"/>
          </w:tcPr>
          <w:p w14:paraId="6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части направленных на обеспечение соблюдения запретов и ограничений, установленных в целях противодействия коррупции.</w:t>
            </w:r>
          </w:p>
        </w:tc>
        <w:tc>
          <w:tcPr>
            <w:tcW w:type="dxa" w:w="5789"/>
            <w:gridSpan w:val="1"/>
            <w:vMerge w:val="continue"/>
          </w:tcPr>
          <w:p/>
        </w:tc>
      </w:tr>
      <w:tr>
        <w:tc>
          <w:tcPr>
            <w:tcW w:type="dxa" w:w="9638"/>
            <w:gridSpan w:val="2"/>
          </w:tcPr>
          <w:p w14:paraId="68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Взаимодействие с правоохранительными органами, государственными органами</w:t>
            </w:r>
            <w:r>
              <w:rPr>
                <w:rFonts w:ascii="Times New Roman" w:hAnsi="Times New Roman"/>
                <w:b w:val="1"/>
                <w:sz w:val="28"/>
              </w:rPr>
              <w:t>, органами местного самоуправления, организациями, гражданами, средствами массовой информации</w:t>
            </w:r>
          </w:p>
        </w:tc>
      </w:tr>
      <w:tr>
        <w:tc>
          <w:tcPr>
            <w:tcW w:type="dxa" w:w="3849"/>
          </w:tcPr>
          <w:p w14:paraId="69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информации, поступившей из правоохранительных органов о выявленных фактах возникновения конфликта интересов, нарушения запретов и ограничений, </w:t>
            </w:r>
            <w:r>
              <w:rPr>
                <w:rFonts w:ascii="Times New Roman" w:hAnsi="Times New Roman"/>
                <w:sz w:val="28"/>
              </w:rPr>
              <w:t xml:space="preserve">установленных в целях </w:t>
            </w:r>
            <w:r>
              <w:rPr>
                <w:rFonts w:ascii="Times New Roman" w:hAnsi="Times New Roman"/>
                <w:sz w:val="28"/>
              </w:rPr>
              <w:t>противодействия коррупции, результаты их рассмотрения</w:t>
            </w:r>
          </w:p>
        </w:tc>
        <w:tc>
          <w:tcPr>
            <w:tcW w:type="dxa" w:w="5789"/>
          </w:tcPr>
          <w:p w14:paraId="6A000000">
            <w:pPr>
              <w:pStyle w:val="Style_9"/>
              <w:spacing w:line="240" w:lineRule="auto"/>
              <w:ind w:firstLine="0" w:left="1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Информация не поступала.</w:t>
            </w:r>
          </w:p>
        </w:tc>
      </w:tr>
      <w:tr>
        <w:trPr>
          <w:trHeight w:hRule="atLeast" w:val="2849"/>
        </w:trPr>
        <w:tc>
          <w:tcPr>
            <w:tcW w:type="dxa" w:w="3849"/>
          </w:tcPr>
          <w:p w14:paraId="6B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обращений, поступивших от граждан о фактах возникновения конфликтов интересов, нарушения запретов и ограничений, установленных в целях противод</w:t>
            </w:r>
            <w:r>
              <w:rPr>
                <w:rFonts w:ascii="Times New Roman" w:hAnsi="Times New Roman"/>
                <w:sz w:val="28"/>
              </w:rPr>
              <w:t>ействия коррупции, результаты их рассмотрения</w:t>
            </w:r>
          </w:p>
        </w:tc>
        <w:tc>
          <w:tcPr>
            <w:tcW w:type="dxa" w:w="5789"/>
          </w:tcPr>
          <w:p w14:paraId="6C000000">
            <w:pPr>
              <w:pStyle w:val="Style_9"/>
              <w:spacing w:line="240" w:lineRule="auto"/>
              <w:ind w:firstLine="0" w:left="1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поступали. </w:t>
            </w:r>
          </w:p>
        </w:tc>
      </w:tr>
      <w:tr>
        <w:tc>
          <w:tcPr>
            <w:tcW w:type="dxa" w:w="3849"/>
          </w:tcPr>
          <w:p w14:paraId="6D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проанализированных сообщений СМИ о фактах возникновения конфликтов интересов, нарушения запретов и ограничений, установленных в целях противодействия коррупции, результаты их </w:t>
            </w:r>
            <w:r>
              <w:rPr>
                <w:rFonts w:ascii="Times New Roman" w:hAnsi="Times New Roman"/>
                <w:sz w:val="28"/>
              </w:rPr>
              <w:t>рассмотрения</w:t>
            </w:r>
          </w:p>
        </w:tc>
        <w:tc>
          <w:tcPr>
            <w:tcW w:type="dxa" w:w="5789"/>
          </w:tcPr>
          <w:p w14:paraId="6E000000">
            <w:pPr>
              <w:pStyle w:val="Style_9"/>
              <w:spacing w:line="240" w:lineRule="auto"/>
              <w:ind w:hanging="5" w:left="1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результате мониторинга региональных СМИ сообщений о фактах нарушения должностными лицами органов исполнительной власти и органов местного самоуправления округа запретов и ограничений, установленных в целях противодействия коррупции, а также </w:t>
            </w:r>
            <w:r>
              <w:rPr>
                <w:rFonts w:ascii="Times New Roman" w:hAnsi="Times New Roman"/>
                <w:sz w:val="28"/>
              </w:rPr>
              <w:t>возможного возникновения конфликта интересов не выявлено.</w:t>
            </w:r>
          </w:p>
        </w:tc>
      </w:tr>
    </w:tbl>
    <w:p w14:paraId="6F000000">
      <w:pPr>
        <w:pStyle w:val="Style_3"/>
      </w:pPr>
      <w:r>
        <w:t>Деятельность комиссий по координации работы по противодействию коррупции в субъекте Российской Федерации</w:t>
      </w:r>
    </w:p>
    <w:tbl>
      <w:tblPr>
        <w:tblStyle w:val="Style_2"/>
        <w:tblW w:type="auto" w:w="0"/>
        <w:tblLayout w:type="fixed"/>
      </w:tblPr>
      <w:tblGrid>
        <w:gridCol w:w="3849"/>
        <w:gridCol w:w="5789"/>
      </w:tblGrid>
      <w:tr>
        <w:trPr>
          <w:trHeight w:hRule="atLeast" w:val="2468"/>
        </w:trPr>
        <w:tc>
          <w:tcPr>
            <w:tcW w:type="dxa" w:w="3849"/>
          </w:tcPr>
          <w:p w14:paraId="70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заседаний комиссии по координации работы по противодействию коррупции в субъекте </w:t>
            </w:r>
            <w:r>
              <w:rPr>
                <w:rFonts w:ascii="Times New Roman" w:hAnsi="Times New Roman"/>
                <w:sz w:val="28"/>
              </w:rPr>
              <w:t>Российской Федерации (с указанием даты и рассмотренных вопросов)</w:t>
            </w:r>
          </w:p>
        </w:tc>
        <w:tc>
          <w:tcPr>
            <w:tcW w:type="dxa" w:w="5789"/>
          </w:tcPr>
          <w:p w14:paraId="71000000">
            <w:pPr>
              <w:spacing w:after="0" w:line="240" w:lineRule="auto"/>
              <w:ind w:firstLine="0" w:left="17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Заседания Комиссии не проводились.</w:t>
            </w:r>
          </w:p>
          <w:p w14:paraId="72000000">
            <w:pPr>
              <w:tabs>
                <w:tab w:leader="none" w:pos="290" w:val="left"/>
              </w:tabs>
              <w:spacing w:after="0" w:line="240" w:lineRule="auto"/>
              <w:ind w:firstLine="6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73000000">
      <w:pPr>
        <w:spacing w:after="0" w:line="240" w:lineRule="auto"/>
        <w:ind/>
        <w:jc w:val="both"/>
      </w:pPr>
    </w:p>
    <w:sectPr>
      <w:footerReference r:id="rId1" w:type="default"/>
      <w:pgSz w:h="16848" w:orient="portrait" w:w="11908"/>
      <w:pgMar w:bottom="1134" w:footer="709" w:gutter="0" w:header="709" w:left="1559" w:right="70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right"/>
    </w:pPr>
  </w:p>
  <w:p w14:paraId="03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pStyle w:val="Style_3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spacing w:after="200" w:line="276" w:lineRule="auto"/>
      <w:ind/>
    </w:pPr>
  </w:style>
  <w:style w:default="1" w:styleId="Style_10_ch" w:type="character">
    <w:name w:val="Normal"/>
    <w:link w:val="Style_10"/>
  </w:style>
  <w:style w:styleId="Style_11" w:type="paragraph">
    <w:name w:val="Неразрешенное упоминание2"/>
    <w:basedOn w:val="Style_12"/>
    <w:link w:val="Style_11_ch"/>
    <w:rPr>
      <w:color w:val="808080"/>
      <w:shd w:fill="E6E6E6" w:val="clear"/>
    </w:rPr>
  </w:style>
  <w:style w:styleId="Style_11_ch" w:type="character">
    <w:name w:val="Неразрешенное упоминание2"/>
    <w:basedOn w:val="Style_12_ch"/>
    <w:link w:val="Style_11"/>
    <w:rPr>
      <w:color w:val="808080"/>
      <w:shd w:fill="E6E6E6" w:val="clear"/>
    </w:rPr>
  </w:style>
  <w:style w:styleId="Style_1" w:type="paragraph">
    <w:name w:val="footer"/>
    <w:basedOn w:val="Style_10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10_ch"/>
    <w:link w:val="Style_1"/>
  </w:style>
  <w:style w:styleId="Style_13" w:type="paragraph">
    <w:name w:val="Гиперссылка1"/>
    <w:basedOn w:val="Style_14"/>
    <w:link w:val="Style_13_ch"/>
    <w:rPr>
      <w:color w:val="0000FF"/>
      <w:u w:val="single"/>
    </w:rPr>
  </w:style>
  <w:style w:styleId="Style_13_ch" w:type="character">
    <w:name w:val="Гиперссылка1"/>
    <w:basedOn w:val="Style_14_ch"/>
    <w:link w:val="Style_13"/>
    <w:rPr>
      <w:color w:val="0000FF"/>
      <w:u w:val="single"/>
    </w:rPr>
  </w:style>
  <w:style w:styleId="Style_15" w:type="paragraph">
    <w:name w:val="toc 2"/>
    <w:next w:val="Style_10"/>
    <w:link w:val="Style_15_ch"/>
    <w:uiPriority w:val="39"/>
    <w:pPr>
      <w:ind w:firstLine="0" w:left="200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header"/>
    <w:basedOn w:val="Style_10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10_ch"/>
    <w:link w:val="Style_16"/>
  </w:style>
  <w:style w:styleId="Style_17" w:type="paragraph">
    <w:name w:val="toc 4"/>
    <w:next w:val="Style_10"/>
    <w:link w:val="Style_17_ch"/>
    <w:uiPriority w:val="39"/>
    <w:pPr>
      <w:ind w:firstLine="0" w:left="600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toc 6"/>
    <w:next w:val="Style_10"/>
    <w:link w:val="Style_18_ch"/>
    <w:uiPriority w:val="39"/>
    <w:pPr>
      <w:ind w:firstLine="0" w:left="1000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10"/>
    <w:link w:val="Style_19_ch"/>
    <w:uiPriority w:val="39"/>
    <w:pPr>
      <w:ind w:firstLine="0" w:left="1200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4" w:type="paragraph">
    <w:name w:val="ConsPlusNormal"/>
    <w:link w:val="Style_4_ch"/>
    <w:pPr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ConsPlusNormal"/>
    <w:link w:val="Style_4"/>
    <w:rPr>
      <w:rFonts w:ascii="Times New Roman" w:hAnsi="Times New Roman"/>
      <w:sz w:val="28"/>
    </w:rPr>
  </w:style>
  <w:style w:styleId="Style_9" w:type="paragraph">
    <w:name w:val="List Paragraph"/>
    <w:basedOn w:val="Style_10"/>
    <w:link w:val="Style_9_ch"/>
    <w:pPr>
      <w:ind w:firstLine="0" w:left="720"/>
      <w:contextualSpacing w:val="1"/>
    </w:pPr>
  </w:style>
  <w:style w:styleId="Style_9_ch" w:type="character">
    <w:name w:val="List Paragraph"/>
    <w:basedOn w:val="Style_10_ch"/>
    <w:link w:val="Style_9"/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Endnote"/>
    <w:link w:val="Style_20"/>
    <w:rPr>
      <w:rFonts w:ascii="XO Thames" w:hAnsi="XO Thames"/>
    </w:rPr>
  </w:style>
  <w:style w:styleId="Style_6" w:type="paragraph">
    <w:name w:val="heading 3"/>
    <w:basedOn w:val="Style_10"/>
    <w:next w:val="Style_10"/>
    <w:link w:val="Style_6_ch"/>
    <w:uiPriority w:val="9"/>
    <w:qFormat/>
    <w:pPr>
      <w:keepNext w:val="1"/>
      <w:keepLines w:val="1"/>
      <w:spacing w:after="0" w:before="40"/>
      <w:ind/>
      <w:outlineLvl w:val="2"/>
    </w:pPr>
    <w:rPr>
      <w:rFonts w:asciiTheme="majorAscii" w:hAnsiTheme="majorHAnsi"/>
      <w:color w:themeColor="accent1" w:themeShade="7F" w:val="203864"/>
      <w:sz w:val="24"/>
    </w:rPr>
  </w:style>
  <w:style w:styleId="Style_6_ch" w:type="character">
    <w:name w:val="heading 3"/>
    <w:basedOn w:val="Style_10_ch"/>
    <w:link w:val="Style_6"/>
    <w:rPr>
      <w:rFonts w:asciiTheme="majorAscii" w:hAnsiTheme="majorHAnsi"/>
      <w:color w:themeColor="accent1" w:themeShade="7F" w:val="203864"/>
      <w:sz w:val="24"/>
    </w:rPr>
  </w:style>
  <w:style w:styleId="Style_12" w:type="paragraph">
    <w:name w:val="Основной шрифт абзаца3"/>
    <w:link w:val="Style_12_ch"/>
  </w:style>
  <w:style w:styleId="Style_12_ch" w:type="character">
    <w:name w:val="Основной шрифт абзаца3"/>
    <w:link w:val="Style_12"/>
  </w:style>
  <w:style w:styleId="Style_21" w:type="paragraph">
    <w:name w:val="FollowedHyperlink"/>
    <w:basedOn w:val="Style_22"/>
    <w:link w:val="Style_21_ch"/>
    <w:rPr>
      <w:color w:themeColor="followedHyperlink" w:val="954F72"/>
      <w:u w:val="single"/>
    </w:rPr>
  </w:style>
  <w:style w:styleId="Style_21_ch" w:type="character">
    <w:name w:val="FollowedHyperlink"/>
    <w:basedOn w:val="Style_22_ch"/>
    <w:link w:val="Style_21"/>
    <w:rPr>
      <w:color w:themeColor="followedHyperlink" w:val="954F72"/>
      <w:u w:val="single"/>
    </w:rPr>
  </w:style>
  <w:style w:styleId="Style_23" w:type="paragraph">
    <w:name w:val="Гиперссылка2"/>
    <w:link w:val="Style_23_ch"/>
    <w:rPr>
      <w:color w:val="0000FF"/>
      <w:u w:val="single"/>
    </w:rPr>
  </w:style>
  <w:style w:styleId="Style_23_ch" w:type="character">
    <w:name w:val="Гиперссылка2"/>
    <w:link w:val="Style_23"/>
    <w:rPr>
      <w:color w:val="0000FF"/>
      <w:u w:val="single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Заголовок 5 Знак"/>
    <w:link w:val="Style_25_ch"/>
    <w:rPr>
      <w:rFonts w:ascii="XO Thames" w:hAnsi="XO Thames"/>
      <w:b w:val="1"/>
    </w:rPr>
  </w:style>
  <w:style w:styleId="Style_25_ch" w:type="character">
    <w:name w:val="Заголовок 5 Знак"/>
    <w:link w:val="Style_25"/>
    <w:rPr>
      <w:rFonts w:ascii="XO Thames" w:hAnsi="XO Thames"/>
      <w:b w:val="1"/>
    </w:rPr>
  </w:style>
  <w:style w:styleId="Style_5" w:type="paragraph">
    <w:name w:val="Standard"/>
    <w:link w:val="Style_5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5_ch" w:type="character">
    <w:name w:val="Standard"/>
    <w:link w:val="Style_5"/>
    <w:rPr>
      <w:rFonts w:ascii="Times New Roman" w:hAnsi="Times New Roman"/>
      <w:sz w:val="24"/>
    </w:rPr>
  </w:style>
  <w:style w:styleId="Style_26" w:type="paragraph">
    <w:name w:val="Гиперссылка2"/>
    <w:link w:val="Style_26_ch"/>
    <w:rPr>
      <w:color w:val="0000FF"/>
      <w:u w:val="single"/>
    </w:rPr>
  </w:style>
  <w:style w:styleId="Style_26_ch" w:type="character">
    <w:name w:val="Гиперссылка2"/>
    <w:link w:val="Style_26"/>
    <w:rPr>
      <w:color w:val="0000FF"/>
      <w:u w:val="single"/>
    </w:rPr>
  </w:style>
  <w:style w:styleId="Style_27" w:type="paragraph">
    <w:name w:val="toc 3"/>
    <w:next w:val="Style_10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Знак"/>
    <w:basedOn w:val="Style_10"/>
    <w:link w:val="Style_28_ch"/>
    <w:pPr>
      <w:spacing w:after="160" w:line="240" w:lineRule="exact"/>
      <w:ind/>
    </w:pPr>
    <w:rPr>
      <w:rFonts w:ascii="Verdana" w:hAnsi="Verdana"/>
      <w:sz w:val="20"/>
    </w:rPr>
  </w:style>
  <w:style w:styleId="Style_28_ch" w:type="character">
    <w:name w:val="Знак"/>
    <w:basedOn w:val="Style_10_ch"/>
    <w:link w:val="Style_28"/>
    <w:rPr>
      <w:rFonts w:ascii="Verdana" w:hAnsi="Verdana"/>
      <w:sz w:val="20"/>
    </w:rPr>
  </w:style>
  <w:style w:styleId="Style_29" w:type="paragraph">
    <w:name w:val="heading 5"/>
    <w:next w:val="Style_10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9_ch" w:type="character">
    <w:name w:val="heading 5"/>
    <w:link w:val="Style_29"/>
    <w:rPr>
      <w:rFonts w:ascii="XO Thames" w:hAnsi="XO Thames"/>
      <w:b w:val="1"/>
    </w:rPr>
  </w:style>
  <w:style w:styleId="Style_3" w:type="paragraph">
    <w:name w:val="heading 1"/>
    <w:basedOn w:val="Style_10"/>
    <w:next w:val="Style_10"/>
    <w:link w:val="Style_3_ch"/>
    <w:uiPriority w:val="9"/>
    <w:qFormat/>
    <w:pPr>
      <w:keepNext w:val="1"/>
      <w:keepLines w:val="1"/>
      <w:numPr>
        <w:numId w:val="6"/>
      </w:numPr>
      <w:spacing w:after="0" w:line="240" w:lineRule="auto"/>
      <w:ind/>
      <w:contextualSpacing w:val="1"/>
      <w:jc w:val="center"/>
      <w:outlineLvl w:val="0"/>
    </w:pPr>
    <w:rPr>
      <w:rFonts w:ascii="Times New Roman" w:hAnsi="Times New Roman"/>
      <w:b w:val="1"/>
      <w:sz w:val="28"/>
    </w:rPr>
  </w:style>
  <w:style w:styleId="Style_3_ch" w:type="character">
    <w:name w:val="heading 1"/>
    <w:basedOn w:val="Style_10_ch"/>
    <w:link w:val="Style_3"/>
    <w:rPr>
      <w:rFonts w:ascii="Times New Roman" w:hAnsi="Times New Roman"/>
      <w:b w:val="1"/>
      <w:sz w:val="28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</w:rPr>
  </w:style>
  <w:style w:styleId="Style_33_ch" w:type="character">
    <w:name w:val="Footnote"/>
    <w:link w:val="Style_33"/>
    <w:rPr>
      <w:rFonts w:ascii="XO Thames" w:hAnsi="XO Thames"/>
    </w:rPr>
  </w:style>
  <w:style w:styleId="Style_34" w:type="paragraph">
    <w:name w:val="apple-converted-space"/>
    <w:basedOn w:val="Style_35"/>
    <w:link w:val="Style_34_ch"/>
  </w:style>
  <w:style w:styleId="Style_34_ch" w:type="character">
    <w:name w:val="apple-converted-space"/>
    <w:basedOn w:val="Style_35_ch"/>
    <w:link w:val="Style_34"/>
  </w:style>
  <w:style w:styleId="Style_36" w:type="paragraph">
    <w:name w:val="toc 1"/>
    <w:next w:val="Style_10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Неразрешенное упоминание1"/>
    <w:basedOn w:val="Style_14"/>
    <w:link w:val="Style_38_ch"/>
    <w:rPr>
      <w:color w:val="808080"/>
      <w:shd w:fill="E6E6E6" w:val="clear"/>
    </w:rPr>
  </w:style>
  <w:style w:styleId="Style_38_ch" w:type="character">
    <w:name w:val="Неразрешенное упоминание1"/>
    <w:basedOn w:val="Style_14_ch"/>
    <w:link w:val="Style_38"/>
    <w:rPr>
      <w:color w:val="808080"/>
      <w:shd w:fill="E6E6E6" w:val="clear"/>
    </w:rPr>
  </w:style>
  <w:style w:styleId="Style_39" w:type="paragraph">
    <w:name w:val="toc 9"/>
    <w:next w:val="Style_10"/>
    <w:link w:val="Style_39_ch"/>
    <w:uiPriority w:val="39"/>
    <w:pPr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7" w:type="paragraph">
    <w:name w:val="Гиперссылка3"/>
    <w:link w:val="Style_7_ch"/>
    <w:rPr>
      <w:color w:val="0000FF"/>
      <w:u w:val="single"/>
    </w:rPr>
  </w:style>
  <w:style w:styleId="Style_7_ch" w:type="character">
    <w:name w:val="Гиперссылка3"/>
    <w:link w:val="Style_7"/>
    <w:rPr>
      <w:color w:val="0000FF"/>
      <w:u w:val="single"/>
    </w:rPr>
  </w:style>
  <w:style w:styleId="Style_40" w:type="paragraph">
    <w:name w:val="Balloon Text"/>
    <w:basedOn w:val="Style_10"/>
    <w:link w:val="Style_40_ch"/>
    <w:pPr>
      <w:spacing w:after="0" w:line="240" w:lineRule="auto"/>
      <w:ind/>
    </w:pPr>
    <w:rPr>
      <w:rFonts w:ascii="Tahoma" w:hAnsi="Tahoma"/>
      <w:sz w:val="16"/>
    </w:rPr>
  </w:style>
  <w:style w:styleId="Style_40_ch" w:type="character">
    <w:name w:val="Balloon Text"/>
    <w:basedOn w:val="Style_10_ch"/>
    <w:link w:val="Style_40"/>
    <w:rPr>
      <w:rFonts w:ascii="Tahoma" w:hAnsi="Tahoma"/>
      <w:sz w:val="16"/>
    </w:rPr>
  </w:style>
  <w:style w:styleId="Style_41" w:type="paragraph">
    <w:name w:val="toc 8"/>
    <w:next w:val="Style_10"/>
    <w:link w:val="Style_41_ch"/>
    <w:uiPriority w:val="39"/>
    <w:pPr>
      <w:ind w:firstLine="0" w:left="1400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toc 5"/>
    <w:next w:val="Style_10"/>
    <w:link w:val="Style_43_ch"/>
    <w:uiPriority w:val="39"/>
    <w:pPr>
      <w:ind w:firstLine="0" w:left="800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8" w:type="paragraph">
    <w:name w:val="Plain Text"/>
    <w:basedOn w:val="Style_10"/>
    <w:link w:val="Style_8_ch"/>
    <w:pPr>
      <w:spacing w:after="0" w:line="240" w:lineRule="auto"/>
      <w:ind/>
    </w:pPr>
    <w:rPr>
      <w:rFonts w:ascii="Courier New" w:hAnsi="Courier New"/>
      <w:sz w:val="20"/>
    </w:rPr>
  </w:style>
  <w:style w:styleId="Style_8_ch" w:type="character">
    <w:name w:val="Plain Text"/>
    <w:basedOn w:val="Style_10_ch"/>
    <w:link w:val="Style_8"/>
    <w:rPr>
      <w:rFonts w:ascii="Courier New" w:hAnsi="Courier New"/>
      <w:sz w:val="20"/>
    </w:rPr>
  </w:style>
  <w:style w:styleId="Style_44" w:type="paragraph">
    <w:name w:val="Основной шрифт абзаца3"/>
    <w:link w:val="Style_44_ch"/>
  </w:style>
  <w:style w:styleId="Style_44_ch" w:type="character">
    <w:name w:val="Основной шрифт абзаца3"/>
    <w:link w:val="Style_44"/>
  </w:style>
  <w:style w:styleId="Style_45" w:type="paragraph">
    <w:name w:val="Subtitle"/>
    <w:next w:val="Style_10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35" w:type="paragraph">
    <w:name w:val="Основной шрифт абзаца2"/>
    <w:link w:val="Style_35_ch"/>
  </w:style>
  <w:style w:styleId="Style_35_ch" w:type="character">
    <w:name w:val="Основной шрифт абзаца2"/>
    <w:link w:val="Style_35"/>
  </w:style>
  <w:style w:styleId="Style_46" w:type="paragraph">
    <w:name w:val="Title"/>
    <w:next w:val="Style_10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next w:val="Style_10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48" w:type="paragraph">
    <w:name w:val="heading 2"/>
    <w:next w:val="Style_10"/>
    <w:link w:val="Style_4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2" w:type="table">
    <w:name w:val="Table Grid"/>
    <w:basedOn w:val="Style_4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2024-05-05T21:26:21Z</dcterms:modified>
</cp:coreProperties>
</file>