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6185" w:type="dxa"/>
        <w:tblInd w:w="8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355"/>
        <w:gridCol w:w="5550"/>
        <w:gridCol w:w="5280"/>
      </w:tblGrid>
      <w:tr w:rsidR="00391CE4">
        <w:trPr>
          <w:trHeight w:val="1134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CE4" w:rsidRDefault="00012FA3">
            <w:pPr>
              <w:shd w:val="clear" w:color="auto" w:fill="FFFFFF"/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 wp14:anchorId="158FB4F3" wp14:editId="451D8E5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92710</wp:posOffset>
                  </wp:positionV>
                  <wp:extent cx="3231515" cy="762635"/>
                  <wp:effectExtent l="0" t="0" r="0" b="0"/>
                  <wp:wrapTopAndBottom/>
                  <wp:docPr id="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76263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20553B">
              <w:rPr>
                <w:noProof/>
                <w:lang w:eastAsia="ru-RU"/>
              </w:rPr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102235</wp:posOffset>
                  </wp:positionV>
                  <wp:extent cx="3231515" cy="762635"/>
                  <wp:effectExtent l="0" t="0" r="0" b="0"/>
                  <wp:wrapTopAndBottom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76263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20553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Обращение в суд с иском происходит в порядке, установленном законом. Защиту нарушенных или оспоренных гражданских прав осуществляет в соответствии с подведомственностью дел, установленный процессуальным   законодательством, мировой судья, федеральный суд общей юрисдикции, арбитражный суд или третейский суд.</w:t>
            </w:r>
          </w:p>
          <w:p w:rsidR="00391CE4" w:rsidRDefault="00391CE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pacing w:val="2"/>
                <w:lang w:eastAsia="ru-RU"/>
              </w:rPr>
            </w:pP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По общему правилу, можно обратиться в суд с иском к мировому судье или в федеральный суд по месту жительства ответчика. Иск к юридическому лицу предъявляется по месту нахождения организации.</w:t>
            </w:r>
          </w:p>
          <w:p w:rsidR="00391CE4" w:rsidRDefault="00391C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Законом предусмотрены некоторые особенности обращения в  суд: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* По выбору истца иск к ответчику, место жительства которого неизвестно или который не имеет места жительства в Российской Федерации, может быть предъявлен по месту нахождения  его имущества или по его известному последнему месту жительства.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* Иск, вытекающий из деятельности из деятельности филиала организации, может быть предъявлен также по   месту нахождения филиала.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 Обращение в суд по иску  о взыскании алиментов и об установлении отцовства может быть предъявлено истцом по его месту жительства.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* Обращение в  суд   с иском о возмещении вреда, причиненного увечьем или иным  повреждением  здоровья, а также  смертью 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29210</wp:posOffset>
                  </wp:positionV>
                  <wp:extent cx="3241040" cy="800735"/>
                  <wp:effectExtent l="0" t="0" r="0" b="0"/>
                  <wp:wrapTopAndBottom/>
                  <wp:docPr id="2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80073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Общий порядок подачи искового заявления установлен  главой 12 ГПК РФ.       Определенные правила составления искового заявления оговорены в статье 131 ГПК РФ.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В исковом заявлении следует указать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*наименование суда, в который подается исковое   заявление;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*наименование истца,  его место жительства, либо, если истцом предстает организация, ее место нахождения, наименование представите ля и  его  адрес, если  заявление подается представителем;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*наименование ответчика, его место жительства либо, если ответчиком предстает организация, ее место нахождения;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*в чем  состоит нарушение или угроза нарушения прав,  свобод либо законных интересов истца и его требования;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*аргументы, которыми истец обосновывает свои требования,  и доказательства, подтверждающие эти аргументы;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*цена иска, если он  подлежит оценке,  а кроме того,  расчет взыскиваемых или оспариваемых денежных сумм;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*сведения о соблюдении досудебного порядка обращения к ответчику,  в случае, когда таковое установлено федеральным законом или предусмотрено  договором сторон;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*перечень прилагаемых к заявлению документов. 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Кроме самого искового заявления в суд следует представить: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*  копии искового  заявления  в суд в соответствии с числом ответчиков и третьих лиц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(4)</w:t>
            </w:r>
          </w:p>
          <w:p w:rsidR="00391CE4" w:rsidRDefault="00391CE4">
            <w:pPr>
              <w:shd w:val="clear" w:color="auto" w:fill="FFFFFF"/>
              <w:spacing w:after="0" w:line="240" w:lineRule="auto"/>
              <w:jc w:val="both"/>
            </w:pP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                                        </w:t>
            </w:r>
          </w:p>
          <w:p w:rsidR="00391CE4" w:rsidRDefault="00391CE4">
            <w:pPr>
              <w:shd w:val="clear" w:color="auto" w:fill="FFFFFF"/>
              <w:spacing w:after="0"/>
              <w:ind w:left="284" w:right="176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/>
              <w:ind w:left="284" w:right="176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/>
              <w:ind w:left="284" w:right="176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/>
              <w:ind w:left="284" w:right="176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pacing w:after="0"/>
              <w:ind w:left="284" w:right="176" w:firstLine="31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  <w:p w:rsidR="00391CE4" w:rsidRDefault="00391CE4">
            <w:pPr>
              <w:shd w:val="clear" w:color="auto" w:fill="FFFFFF"/>
              <w:spacing w:after="0"/>
              <w:ind w:right="176"/>
              <w:jc w:val="both"/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1" wp14:anchorId="5E958525" wp14:editId="2921D36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92710</wp:posOffset>
                  </wp:positionV>
                  <wp:extent cx="3268980" cy="743585"/>
                  <wp:effectExtent l="0" t="0" r="0" b="0"/>
                  <wp:wrapTopAndBottom/>
                  <wp:docPr id="7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74358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83185</wp:posOffset>
                  </wp:positionV>
                  <wp:extent cx="3268980" cy="743585"/>
                  <wp:effectExtent l="0" t="0" r="0" b="0"/>
                  <wp:wrapTopAndBottom/>
                  <wp:docPr id="3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74358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</w:pPr>
            <w:bookmarkStart w:id="0" w:name="__DdeLink__2611_1673965036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повреждением  здоровья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а также  смертью</w:t>
            </w:r>
            <w:bookmarkEnd w:id="0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кормильца,  может предъявляться истцом по  </w:t>
            </w: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месту его жительства или по месту причинения вреда.  </w:t>
            </w: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  <w:lang w:eastAsia="ru-RU"/>
              </w:rPr>
              <w:t xml:space="preserve">   *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Обращение в суд  с иском по договору,  в котором   указано место исполнения, может быть предъявлено по месту исполнения договора. </w:t>
            </w: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*Обращение в  суд с иском о расторжении брака может быть предъявляться по месту жительства истца также в случае,  когда при нем находятся несовершеннолетние дети или когда по состоянию здоровья выезд истца к месту жительства  ответчика представляется для него затруднительным.</w:t>
            </w: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*Обращение в суд с иском о восстановлении трудовых, пенсионных и жилищных прав, возврате имущества или его стоимости, связанное с возмещением ущерба, причиненного гражданину незаконным осуждением, незаконным привлечением к уголовной ответственности, незаконным применением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 качестве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меры пресечения заключения под стражу, подписки о невыезде либо незаконным наложением административного взыскания в  виде ареста, может предъявляться по месту жительства истца  </w:t>
            </w:r>
            <w:r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ст. 29 ГПК РФ)</w:t>
            </w:r>
          </w:p>
          <w:p w:rsidR="00391CE4" w:rsidRDefault="00391CE4">
            <w:pPr>
              <w:spacing w:after="0" w:line="240" w:lineRule="auto"/>
              <w:ind w:right="176"/>
              <w:jc w:val="both"/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  <w:lang w:eastAsia="ru-RU"/>
              </w:rPr>
            </w:pP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алоба на действия (решения) государственных органов, органов местного самоуправления (должностного лица) подается в  районный (городской) суд по усмотрению граждан по  своему месту жительства либо по месту нахождения органа (работы     должностного лица),  чьи действия обжалуются. </w:t>
            </w: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391CE4" w:rsidRDefault="0020553B">
            <w:pPr>
              <w:spacing w:after="0" w:line="240" w:lineRule="auto"/>
              <w:ind w:right="176"/>
              <w:jc w:val="both"/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noProof/>
                <w:spacing w:val="2"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29210</wp:posOffset>
                  </wp:positionV>
                  <wp:extent cx="3268980" cy="800735"/>
                  <wp:effectExtent l="0" t="0" r="0" b="0"/>
                  <wp:wrapTopAndBottom/>
                  <wp:docPr id="4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80073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1CE4" w:rsidRDefault="0020553B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 документ, удостоверяющий внесение государственной  пошлины;</w:t>
            </w:r>
          </w:p>
          <w:p w:rsidR="00391CE4" w:rsidRDefault="0020553B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 доверенность либо другой документ,   подтверждающий полномочия представителя истца (в случае, если Вы решите привлечь представителя);</w:t>
            </w:r>
          </w:p>
          <w:p w:rsidR="00391CE4" w:rsidRDefault="0020553B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 документы, удостоверяющие обстоятельства, на  которых истец основывает свои претензии,  копии данных документов для ответчиков и третьих лиц, если копии у них отсутствуют (имеются  в виду доказательства по  делу);</w:t>
            </w:r>
          </w:p>
          <w:p w:rsidR="00391CE4" w:rsidRDefault="0020553B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 расчет взыскиваемой или оспариваемой денежной суммы, подписанный истцом,  его представителем, с копиями в соответствии с числом ответчиков и третьих лиц.</w:t>
            </w:r>
          </w:p>
          <w:p w:rsidR="00391CE4" w:rsidRDefault="00391CE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91CE4" w:rsidRDefault="0020553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  <w:lang w:eastAsia="ru-RU"/>
              </w:rPr>
              <w:t>Направить исковое заявление в  суд  можно двумя способами:</w:t>
            </w: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1). Отнести заявление лично. Следует взять с собой дополнительную копию искового заявления в суд,  на которой  работник суда сделает  отметку, с указанием даты подачи вашего заявления и его  входящий номер.</w:t>
            </w:r>
          </w:p>
          <w:p w:rsidR="00391CE4" w:rsidRDefault="00391CE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2). Отправить исковое заявление в  суд по почте заказным письмом с уведомлением о вручении.</w:t>
            </w: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О том, что дело принято судом к  рассмотрению, а кроме того, о  времени и месте судебного разбирательства Вы будете поставлены в известность повесткой, которая будет послана по почте, такую  информацию, как правило, можно уточнить по телефону в  канцелярии суда.                                 </w:t>
            </w:r>
          </w:p>
          <w:p w:rsidR="00391CE4" w:rsidRDefault="002055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391CE4" w:rsidRDefault="0020553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(5)</w:t>
            </w:r>
          </w:p>
          <w:p w:rsidR="00391CE4" w:rsidRDefault="00391CE4">
            <w:pPr>
              <w:spacing w:after="0" w:line="240" w:lineRule="auto"/>
              <w:ind w:right="176"/>
              <w:jc w:val="both"/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</w:pPr>
          </w:p>
          <w:p w:rsidR="00391CE4" w:rsidRDefault="0020553B">
            <w:pPr>
              <w:spacing w:after="0" w:line="240" w:lineRule="auto"/>
              <w:ind w:right="176"/>
              <w:jc w:val="both"/>
            </w:pPr>
            <w:r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CE4" w:rsidRDefault="0020553B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64135</wp:posOffset>
                  </wp:positionV>
                  <wp:extent cx="3194685" cy="772160"/>
                  <wp:effectExtent l="0" t="0" r="0" b="0"/>
                  <wp:wrapTopAndBottom/>
                  <wp:docPr id="5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77216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1CE4" w:rsidRDefault="0020553B" w:rsidP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В соответствии  со ст.  30 ГПК РФ  обращение в суд с  иском о правах на  строение,  земельные участки, об освобождении имущества от ареста подсудны суду по  месту нахождения имущества или земельного  участка.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Иски кредиторов наследодателя, предъявляемые до принятия наследства наследниками, подсудны суду по месту открытия наследства.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Иски к перевозчикам, вытекающие из договоров перевозки,  предъявляются по месту нахождения перевозчика, к которому в установленном порядке была предъявлена претензия.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При обращении в суд стороны могут по соглашению собой изменить территориальную подсудность для данного дела до принятия его  судом к своему производству.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Подсудность, установленная статьями 26,27 и 30 ГПК РФ, не может быть изменена соглашением сторон (ст. 32 ГПК РФ).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Обращение в суд с иском к нескольким ответчикам, проживающим или находящимся в разных местах, предъявляется по месту жительства или  месту нахождения одного из ответчиков по выбору истца. Встречный иск независимо от его подсудности предъявляется в суде по месту рассмотрения первоначального иска.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   Гражданский иск, вытекающий из уголовного дела, если он не был предъявлен или не был разрешен при производстве уголовного дела, предъявляется для рассмотрения  в порядке гражданского  судопроизводства по общим правилам о подсудности.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391CE4" w:rsidRDefault="0020553B">
            <w:pPr>
              <w:shd w:val="clear" w:color="auto" w:fill="FFFFFF"/>
              <w:spacing w:after="0" w:line="307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8455" cy="2229485"/>
                  <wp:effectExtent l="0" t="0" r="0" b="0"/>
                  <wp:docPr id="6" name="Рисунок 2" descr="D:\Общая папка\iE6P9Z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 descr="D:\Общая папка\iE6P9Z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391CE4" w:rsidRDefault="0020553B">
            <w:pPr>
              <w:shd w:val="clear" w:color="auto" w:fill="FFFFFF"/>
              <w:spacing w:after="0" w:line="307" w:lineRule="auto"/>
              <w:jc w:val="center"/>
            </w:pPr>
            <w:r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  <w:t xml:space="preserve"> </w:t>
            </w:r>
          </w:p>
          <w:p w:rsidR="00391CE4" w:rsidRDefault="0020553B">
            <w:pPr>
              <w:shd w:val="clear" w:color="auto" w:fill="FFFFFF"/>
              <w:spacing w:after="0" w:line="307" w:lineRule="auto"/>
              <w:jc w:val="center"/>
              <w:rPr>
                <w:sz w:val="36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pacing w:val="2"/>
                <w:sz w:val="36"/>
                <w:szCs w:val="36"/>
                <w:lang w:eastAsia="ru-RU"/>
              </w:rPr>
              <w:t>Как обратиться в  суд?</w:t>
            </w: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391CE4" w:rsidRDefault="0020553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Times New Roman"/>
                <w:b/>
                <w:spacing w:val="2"/>
                <w:sz w:val="30"/>
                <w:szCs w:val="30"/>
                <w:lang w:eastAsia="ru-RU"/>
              </w:rPr>
              <w:t>Уполномоченный по правам человека в Чукотском автономном округе</w:t>
            </w: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lang w:eastAsia="ru-RU"/>
              </w:rPr>
            </w:pPr>
          </w:p>
          <w:p w:rsidR="00391CE4" w:rsidRDefault="002055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lang w:eastAsia="ru-RU"/>
              </w:rPr>
              <w:t>ул. Беринга, д.20, г.  Анадырь,  Чукотский автономный округ, 689000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lang w:eastAsia="ru-RU"/>
              </w:rPr>
              <w:t>тел</w:t>
            </w:r>
            <w:r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 xml:space="preserve">: </w:t>
            </w:r>
            <w:r w:rsidRPr="0020553B"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 xml:space="preserve">8 </w:t>
            </w:r>
            <w:r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>(42722) 6-90-96</w:t>
            </w:r>
          </w:p>
          <w:p w:rsidR="00391CE4" w:rsidRPr="0020553B" w:rsidRDefault="0020553B">
            <w:pPr>
              <w:shd w:val="clear" w:color="auto" w:fill="FFFFFF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>e-mail:</w:t>
            </w:r>
            <w:r w:rsidR="007F6F22" w:rsidRPr="007F6F22"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 xml:space="preserve"> </w:t>
            </w:r>
            <w:r w:rsidR="007F6F22" w:rsidRPr="007F6F22"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>I.Senatorova@chukotka-gov.ru</w:t>
            </w:r>
            <w:r w:rsidR="007F6F22" w:rsidRPr="007F6F22"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Bookman Old Style" w:eastAsia="Times New Roman" w:hAnsi="Bookman Old Style" w:cs="Times New Roman"/>
                <w:spacing w:val="2"/>
                <w:lang w:val="en-US" w:eastAsia="ru-RU"/>
              </w:rPr>
              <w:t xml:space="preserve">,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pacing w:val="2"/>
                <w:lang w:eastAsia="ru-RU"/>
              </w:rPr>
              <w:t xml:space="preserve">(запись на прием) </w:t>
            </w:r>
            <w:proofErr w:type="gramStart"/>
            <w:r>
              <w:rPr>
                <w:rFonts w:ascii="Bookman Old Style" w:eastAsia="Times New Roman" w:hAnsi="Bookman Old Style" w:cs="Times New Roman"/>
                <w:spacing w:val="2"/>
                <w:lang w:eastAsia="ru-RU"/>
              </w:rPr>
              <w:t>по тел</w:t>
            </w:r>
            <w:proofErr w:type="gramEnd"/>
            <w:r>
              <w:rPr>
                <w:rFonts w:ascii="Bookman Old Style" w:eastAsia="Times New Roman" w:hAnsi="Bookman Old Style" w:cs="Times New Roman"/>
                <w:spacing w:val="2"/>
                <w:lang w:eastAsia="ru-RU"/>
              </w:rPr>
              <w:t>:</w:t>
            </w:r>
            <w:r w:rsidR="007F6F22">
              <w:t xml:space="preserve"> </w:t>
            </w:r>
          </w:p>
          <w:p w:rsidR="00391CE4" w:rsidRDefault="0020553B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pacing w:val="2"/>
                <w:lang w:eastAsia="ru-RU"/>
              </w:rPr>
              <w:t xml:space="preserve"> 8(42722) 6-90-96</w:t>
            </w:r>
          </w:p>
          <w:p w:rsidR="00391CE4" w:rsidRDefault="00391CE4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Times New Roman"/>
                <w:b/>
                <w:spacing w:val="2"/>
                <w:sz w:val="27"/>
                <w:szCs w:val="27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 w:line="307" w:lineRule="auto"/>
              <w:jc w:val="center"/>
              <w:rPr>
                <w:rFonts w:ascii="Bookman Old Style" w:eastAsia="Times New Roman" w:hAnsi="Bookman Old Style" w:cs="Arial"/>
                <w:b/>
                <w:spacing w:val="2"/>
                <w:sz w:val="20"/>
                <w:szCs w:val="20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/>
              <w:ind w:left="176" w:right="176" w:firstLine="284"/>
              <w:jc w:val="both"/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  <w:u w:val="single"/>
                <w:lang w:eastAsia="ru-RU"/>
              </w:rPr>
            </w:pPr>
          </w:p>
          <w:p w:rsidR="00391CE4" w:rsidRDefault="00391CE4">
            <w:pPr>
              <w:shd w:val="clear" w:color="auto" w:fill="FFFFFF"/>
              <w:spacing w:after="0"/>
              <w:ind w:left="176" w:right="176" w:firstLine="284"/>
              <w:jc w:val="both"/>
            </w:pPr>
          </w:p>
        </w:tc>
      </w:tr>
    </w:tbl>
    <w:p w:rsidR="00391CE4" w:rsidRDefault="0020553B">
      <w:pPr>
        <w:spacing w:after="0" w:line="300" w:lineRule="atLeast"/>
        <w:textAlignment w:val="baseline"/>
        <w:rPr>
          <w:rFonts w:ascii="Arial" w:eastAsia="Times New Roman" w:hAnsi="Arial" w:cs="Arial"/>
          <w:color w:val="222327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 xml:space="preserve"> </w:t>
      </w:r>
    </w:p>
    <w:p w:rsidR="00391CE4" w:rsidRDefault="00391CE4"/>
    <w:sectPr w:rsidR="00391CE4">
      <w:pgSz w:w="16838" w:h="11906" w:orient="landscape"/>
      <w:pgMar w:top="215" w:right="204" w:bottom="210" w:left="20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E4"/>
    <w:rsid w:val="00012FA3"/>
    <w:rsid w:val="0020553B"/>
    <w:rsid w:val="00391CE4"/>
    <w:rsid w:val="00437BDE"/>
    <w:rsid w:val="007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94F"/>
  <w15:docId w15:val="{86E92FBF-B75F-4EE4-A203-E08E531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2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A951F8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41A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492B16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8B46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A951F8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ascii="Bookman Old Style" w:hAnsi="Bookman Old Style" w:cs="Wingdings"/>
      <w:sz w:val="27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Bookman Old Style" w:hAnsi="Bookman Old Style" w:cs="Wingdings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Bookman Old Style" w:hAnsi="Bookman Old Style" w:cs="Wingdings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9620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D41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uiPriority w:val="99"/>
    <w:qFormat/>
    <w:rsid w:val="00492B16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89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F6F2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6F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Анастасия Геннадьевна</dc:creator>
  <dc:description/>
  <cp:lastModifiedBy>Белоконева Наталья Владимировна</cp:lastModifiedBy>
  <cp:revision>12</cp:revision>
  <cp:lastPrinted>2018-02-05T02:44:00Z</cp:lastPrinted>
  <dcterms:created xsi:type="dcterms:W3CDTF">2017-05-05T04:29:00Z</dcterms:created>
  <dcterms:modified xsi:type="dcterms:W3CDTF">2023-01-16T05:39:00Z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