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D" w:rsidRPr="00FF1696" w:rsidRDefault="00EC6BE2" w:rsidP="00EE1CED">
      <w:pPr>
        <w:ind w:firstLine="567"/>
        <w:jc w:val="center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</w:rPr>
        <w:t xml:space="preserve">Информационно-статистический обзор </w:t>
      </w:r>
      <w:r w:rsidR="00EE1CED" w:rsidRPr="00EE1CED">
        <w:rPr>
          <w:rFonts w:ascii="Bookman Old Style" w:hAnsi="Bookman Old Style" w:cs="Bookman Old Style"/>
          <w:b/>
        </w:rPr>
        <w:t xml:space="preserve">обращений к </w:t>
      </w:r>
      <w:r w:rsidR="00EE1CED" w:rsidRPr="00FF1696">
        <w:rPr>
          <w:rFonts w:ascii="Bookman Old Style" w:hAnsi="Bookman Old Style" w:cs="Bookman Old Style"/>
          <w:b/>
          <w:sz w:val="22"/>
          <w:szCs w:val="22"/>
        </w:rPr>
        <w:t>Уполномоченному по правам человека в Чукотском автономном округе в интересах несовершеннолетних</w:t>
      </w:r>
      <w:r w:rsidRPr="00FF1696">
        <w:rPr>
          <w:rFonts w:ascii="Bookman Old Style" w:hAnsi="Bookman Old Style" w:cs="Bookman Old Style"/>
          <w:b/>
          <w:sz w:val="22"/>
          <w:szCs w:val="22"/>
        </w:rPr>
        <w:t xml:space="preserve"> по итогам деятельности 1 полугодия 2022 года</w:t>
      </w:r>
      <w:proofErr w:type="gramEnd"/>
    </w:p>
    <w:p w:rsidR="00EE1CED" w:rsidRPr="00FF1696" w:rsidRDefault="00EE1CED" w:rsidP="00EE1CED">
      <w:pPr>
        <w:ind w:firstLine="567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EE1CED" w:rsidRPr="00FF1696" w:rsidRDefault="00EE1CED" w:rsidP="00EE1CED">
      <w:pPr>
        <w:ind w:firstLine="709"/>
        <w:jc w:val="both"/>
        <w:rPr>
          <w:rFonts w:ascii="Bookman Old Style" w:hAnsi="Bookman Old Style" w:cs="Bookman Old Style"/>
          <w:sz w:val="22"/>
          <w:szCs w:val="22"/>
        </w:rPr>
      </w:pPr>
      <w:r w:rsidRPr="00FF1696">
        <w:rPr>
          <w:rFonts w:ascii="Bookman Old Style" w:hAnsi="Bookman Old Style"/>
          <w:sz w:val="22"/>
          <w:szCs w:val="22"/>
        </w:rPr>
        <w:t xml:space="preserve">В 1 полугодии текущего года в адрес Уполномоченного поступило </w:t>
      </w:r>
      <w:r w:rsidRPr="00FF1696">
        <w:rPr>
          <w:rFonts w:ascii="Bookman Old Style" w:hAnsi="Bookman Old Style"/>
          <w:b/>
          <w:sz w:val="22"/>
          <w:szCs w:val="22"/>
        </w:rPr>
        <w:t xml:space="preserve">8 </w:t>
      </w:r>
      <w:r w:rsidRPr="00FF1696">
        <w:rPr>
          <w:rFonts w:ascii="Bookman Old Style" w:hAnsi="Bookman Old Style"/>
          <w:sz w:val="22"/>
          <w:szCs w:val="22"/>
        </w:rPr>
        <w:t xml:space="preserve">обращений, из них: 6 обращений являются жалобами, 2 заявления, в сравнении с аналогичным периодом прошлого года снижение на 2 обращение, </w:t>
      </w:r>
      <w:proofErr w:type="gramStart"/>
      <w:r w:rsidRPr="00FF1696">
        <w:rPr>
          <w:rFonts w:ascii="Bookman Old Style" w:hAnsi="Bookman Old Style"/>
          <w:sz w:val="22"/>
          <w:szCs w:val="22"/>
        </w:rPr>
        <w:t xml:space="preserve">( </w:t>
      </w:r>
      <w:proofErr w:type="gramEnd"/>
      <w:r w:rsidRPr="00FF1696">
        <w:rPr>
          <w:rFonts w:ascii="Bookman Old Style" w:hAnsi="Bookman Old Style"/>
          <w:sz w:val="22"/>
          <w:szCs w:val="22"/>
        </w:rPr>
        <w:t>АППГ-10).</w:t>
      </w:r>
    </w:p>
    <w:p w:rsidR="00EE1CED" w:rsidRPr="00FF1696" w:rsidRDefault="00EE1CED" w:rsidP="00EE1CED">
      <w:pPr>
        <w:suppressAutoHyphens w:val="0"/>
        <w:ind w:firstLine="567"/>
        <w:jc w:val="center"/>
        <w:rPr>
          <w:rFonts w:ascii="Bookman Old Style" w:hAnsi="Bookman Old Style" w:cs="Bookman Old Style"/>
          <w:sz w:val="22"/>
          <w:szCs w:val="22"/>
          <w:u w:val="single"/>
          <w:lang w:eastAsia="ru-RU"/>
        </w:rPr>
      </w:pPr>
      <w:r w:rsidRPr="00FF1696">
        <w:rPr>
          <w:rFonts w:ascii="Bookman Old Style" w:hAnsi="Bookman Old Style" w:cs="Bookman Old Style"/>
          <w:sz w:val="22"/>
          <w:szCs w:val="22"/>
          <w:u w:val="single"/>
          <w:lang w:eastAsia="ru-RU"/>
        </w:rPr>
        <w:t>Тематика обращений</w:t>
      </w:r>
    </w:p>
    <w:p w:rsidR="00EE1CED" w:rsidRPr="00FF1696" w:rsidRDefault="00EE1CED" w:rsidP="00EE1CED">
      <w:pPr>
        <w:suppressAutoHyphens w:val="0"/>
        <w:ind w:firstLine="567"/>
        <w:jc w:val="center"/>
        <w:rPr>
          <w:rFonts w:ascii="Bookman Old Style" w:hAnsi="Bookman Old Style" w:cs="Bookman Old Style"/>
          <w:sz w:val="22"/>
          <w:szCs w:val="22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5073"/>
        <w:gridCol w:w="1330"/>
        <w:gridCol w:w="1330"/>
        <w:gridCol w:w="970"/>
      </w:tblGrid>
      <w:tr w:rsidR="00EE1CED" w:rsidRPr="00FF1696" w:rsidTr="00442B50">
        <w:trPr>
          <w:trHeight w:val="402"/>
        </w:trPr>
        <w:tc>
          <w:tcPr>
            <w:tcW w:w="864" w:type="dxa"/>
            <w:shd w:val="clear" w:color="auto" w:fill="FFCCFF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 w:cs="Bookman Old Style"/>
                <w:sz w:val="22"/>
                <w:szCs w:val="22"/>
                <w:lang w:eastAsia="ru-RU"/>
              </w:rPr>
              <w:t xml:space="preserve">      </w:t>
            </w: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№</w:t>
            </w:r>
            <w:proofErr w:type="gramStart"/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п</w:t>
            </w:r>
            <w:proofErr w:type="gramEnd"/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49" w:type="dxa"/>
            <w:shd w:val="clear" w:color="auto" w:fill="FFCCFF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29" w:type="dxa"/>
            <w:shd w:val="clear" w:color="auto" w:fill="FFCCFF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1 полугодие 2022</w:t>
            </w:r>
          </w:p>
        </w:tc>
        <w:tc>
          <w:tcPr>
            <w:tcW w:w="1229" w:type="dxa"/>
            <w:shd w:val="clear" w:color="auto" w:fill="FFCCFF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1 полугодие</w:t>
            </w:r>
          </w:p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9" w:type="dxa"/>
            <w:shd w:val="clear" w:color="auto" w:fill="FFCCFF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+/-</w:t>
            </w:r>
          </w:p>
        </w:tc>
      </w:tr>
      <w:tr w:rsidR="00EE1CED" w:rsidRPr="00FF1696" w:rsidTr="00442B50">
        <w:trPr>
          <w:trHeight w:val="277"/>
        </w:trPr>
        <w:tc>
          <w:tcPr>
            <w:tcW w:w="864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9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Количество поступивших обращений, всего</w:t>
            </w:r>
          </w:p>
        </w:tc>
        <w:tc>
          <w:tcPr>
            <w:tcW w:w="1229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29" w:type="dxa"/>
            <w:shd w:val="clear" w:color="auto" w:fill="FFFFCC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9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-2</w:t>
            </w:r>
          </w:p>
        </w:tc>
      </w:tr>
      <w:tr w:rsidR="00EE1CED" w:rsidRPr="00FF1696" w:rsidTr="00442B50">
        <w:trPr>
          <w:trHeight w:val="184"/>
        </w:trPr>
        <w:tc>
          <w:tcPr>
            <w:tcW w:w="6113" w:type="dxa"/>
            <w:gridSpan w:val="2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Из них: по характеру обращений: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99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E1CED" w:rsidRPr="00FF1696" w:rsidTr="00442B50">
        <w:trPr>
          <w:trHeight w:val="260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Семейные правоотношения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0 </w:t>
            </w:r>
          </w:p>
        </w:tc>
      </w:tr>
      <w:tr w:rsidR="00EE1CED" w:rsidRPr="00FF1696" w:rsidTr="00442B50">
        <w:trPr>
          <w:trHeight w:val="321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Охрана жизни и здоровья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0</w:t>
            </w:r>
          </w:p>
        </w:tc>
      </w:tr>
      <w:tr w:rsidR="00EE1CED" w:rsidRPr="00FF1696" w:rsidTr="00442B50">
        <w:trPr>
          <w:trHeight w:val="228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Образование (конфликтная ситуация в образовательном </w:t>
            </w:r>
            <w:proofErr w:type="gramStart"/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процессе</w:t>
            </w:r>
            <w:proofErr w:type="gramEnd"/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+3</w:t>
            </w:r>
          </w:p>
        </w:tc>
      </w:tr>
      <w:tr w:rsidR="00EE1CED" w:rsidRPr="00FF1696" w:rsidTr="00442B50">
        <w:trPr>
          <w:trHeight w:val="289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Социальное обеспечение, пособие на детей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-1 </w:t>
            </w:r>
          </w:p>
        </w:tc>
      </w:tr>
      <w:tr w:rsidR="00EE1CED" w:rsidRPr="00FF1696" w:rsidTr="00442B50">
        <w:trPr>
          <w:trHeight w:val="402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Вопросы, связанные с правонарушениями, и их профилактикой, пенитенциарной системой  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+1 </w:t>
            </w:r>
          </w:p>
        </w:tc>
      </w:tr>
      <w:tr w:rsidR="00EE1CED" w:rsidRPr="00FF1696" w:rsidTr="00442B50">
        <w:trPr>
          <w:trHeight w:val="402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Жилищные права  детей 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-3</w:t>
            </w:r>
          </w:p>
        </w:tc>
      </w:tr>
      <w:tr w:rsidR="00EE1CED" w:rsidRPr="00FF1696" w:rsidTr="00442B50">
        <w:trPr>
          <w:trHeight w:val="301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Права несовершеннолетних в сфере миграционного законодательства"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0</w:t>
            </w:r>
          </w:p>
        </w:tc>
      </w:tr>
      <w:tr w:rsidR="00EE1CED" w:rsidRPr="00FF1696" w:rsidTr="00442B50">
        <w:trPr>
          <w:trHeight w:val="301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Вопросы опеки и попечительства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-2</w:t>
            </w:r>
          </w:p>
        </w:tc>
      </w:tr>
      <w:tr w:rsidR="00EE1CED" w:rsidRPr="00FF1696" w:rsidTr="00442B50">
        <w:trPr>
          <w:trHeight w:val="208"/>
        </w:trPr>
        <w:tc>
          <w:tcPr>
            <w:tcW w:w="6113" w:type="dxa"/>
            <w:gridSpan w:val="2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Категория заявителей:</w:t>
            </w:r>
          </w:p>
        </w:tc>
        <w:tc>
          <w:tcPr>
            <w:tcW w:w="1229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shd w:val="clear" w:color="auto" w:fill="FFFFCC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999" w:type="dxa"/>
            <w:shd w:val="clear" w:color="auto" w:fill="FFFFCC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E1CED" w:rsidRPr="00FF1696" w:rsidTr="00442B50">
        <w:trPr>
          <w:trHeight w:val="283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Родители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+2</w:t>
            </w:r>
          </w:p>
        </w:tc>
      </w:tr>
      <w:tr w:rsidR="00EE1CED" w:rsidRPr="00FF1696" w:rsidTr="00442B50">
        <w:trPr>
          <w:trHeight w:val="204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Иные родственники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-3</w:t>
            </w:r>
          </w:p>
        </w:tc>
      </w:tr>
      <w:tr w:rsidR="00EE1CED" w:rsidRPr="00FF1696" w:rsidTr="00442B50">
        <w:trPr>
          <w:trHeight w:val="252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Лица, принявшие детей на воспитание в семью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-1</w:t>
            </w:r>
          </w:p>
        </w:tc>
      </w:tr>
      <w:tr w:rsidR="00EE1CED" w:rsidRPr="00FF1696" w:rsidTr="00442B50">
        <w:trPr>
          <w:trHeight w:val="171"/>
        </w:trPr>
        <w:tc>
          <w:tcPr>
            <w:tcW w:w="864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9" w:type="dxa"/>
          </w:tcPr>
          <w:p w:rsidR="00EE1CED" w:rsidRPr="00FF1696" w:rsidRDefault="00EE1CED" w:rsidP="00442B50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>Несовершеннолетние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9" w:type="dxa"/>
          </w:tcPr>
          <w:p w:rsidR="00EE1CED" w:rsidRPr="00FF1696" w:rsidRDefault="00EE1CED" w:rsidP="00442B50">
            <w:pPr>
              <w:rPr>
                <w:rFonts w:ascii="Bookman Old Style" w:hAnsi="Bookman Old Style"/>
                <w:sz w:val="22"/>
                <w:szCs w:val="22"/>
              </w:rPr>
            </w:pPr>
            <w:r w:rsidRPr="00FF169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E1CED" w:rsidRPr="00FF1696" w:rsidRDefault="00EE1CED" w:rsidP="00442B50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FF1696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EE1CED" w:rsidRPr="00FF1696" w:rsidRDefault="00EE1CED" w:rsidP="00EE1CE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E1CED" w:rsidRPr="00FF1696" w:rsidRDefault="00EE1CED" w:rsidP="00EE1CED">
      <w:pPr>
        <w:ind w:firstLine="567"/>
        <w:jc w:val="both"/>
        <w:rPr>
          <w:rFonts w:ascii="Bookman Old Style" w:hAnsi="Bookman Old Style"/>
          <w:sz w:val="22"/>
          <w:szCs w:val="22"/>
          <w:lang w:eastAsia="ru-RU"/>
        </w:rPr>
      </w:pPr>
      <w:r w:rsidRPr="00FF1696">
        <w:rPr>
          <w:rFonts w:ascii="Bookman Old Style" w:hAnsi="Bookman Old Style"/>
          <w:sz w:val="22"/>
          <w:szCs w:val="22"/>
          <w:lang w:eastAsia="ru-RU"/>
        </w:rPr>
        <w:t xml:space="preserve">Основное количество обращений, или 62,5 % приходится на вопросы, связанные с конфликтными ситуациями в образовательных  </w:t>
      </w:r>
      <w:proofErr w:type="gramStart"/>
      <w:r w:rsidRPr="00FF1696">
        <w:rPr>
          <w:rFonts w:ascii="Bookman Old Style" w:hAnsi="Bookman Old Style"/>
          <w:sz w:val="22"/>
          <w:szCs w:val="22"/>
          <w:lang w:eastAsia="ru-RU"/>
        </w:rPr>
        <w:t>учреждениях</w:t>
      </w:r>
      <w:proofErr w:type="gramEnd"/>
      <w:r w:rsidRPr="00FF1696">
        <w:rPr>
          <w:rFonts w:ascii="Bookman Old Style" w:hAnsi="Bookman Old Style"/>
          <w:sz w:val="22"/>
          <w:szCs w:val="22"/>
          <w:lang w:eastAsia="ru-RU"/>
        </w:rPr>
        <w:t xml:space="preserve"> округа. </w:t>
      </w:r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/>
          <w:sz w:val="22"/>
          <w:szCs w:val="22"/>
          <w:lang w:eastAsia="ru-RU"/>
        </w:rPr>
      </w:pPr>
      <w:r w:rsidRPr="00FF1696">
        <w:rPr>
          <w:rFonts w:ascii="Bookman Old Style" w:hAnsi="Bookman Old Style"/>
          <w:sz w:val="22"/>
          <w:szCs w:val="22"/>
          <w:lang w:eastAsia="ru-RU"/>
        </w:rPr>
        <w:t xml:space="preserve">В отчетном периоде наблюдается снижение заявлений на оформление опеки и попечительства над несовершеннолетними детьми близкими родственниками. </w:t>
      </w:r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/>
          <w:sz w:val="22"/>
          <w:szCs w:val="22"/>
          <w:lang w:eastAsia="ru-RU"/>
        </w:rPr>
      </w:pPr>
      <w:r w:rsidRPr="00FF1696">
        <w:rPr>
          <w:rFonts w:ascii="Bookman Old Style" w:hAnsi="Bookman Old Style"/>
          <w:sz w:val="22"/>
          <w:szCs w:val="22"/>
          <w:lang w:eastAsia="ru-RU"/>
        </w:rPr>
        <w:t xml:space="preserve">В 1 полугодии текущего года заявления об оказании содействия в улучшении жилищных условий и жалобы, касающиеся семейных правоотношений, не поступали. </w:t>
      </w:r>
    </w:p>
    <w:p w:rsidR="00EE1CED" w:rsidRPr="00FF1696" w:rsidRDefault="00EE1CED" w:rsidP="00EE1CED">
      <w:pPr>
        <w:spacing w:before="120" w:after="120"/>
        <w:ind w:firstLine="709"/>
        <w:jc w:val="both"/>
        <w:rPr>
          <w:rFonts w:ascii="Bookman Old Style" w:hAnsi="Bookman Old Style"/>
          <w:sz w:val="22"/>
          <w:szCs w:val="22"/>
          <w:u w:val="single"/>
        </w:rPr>
      </w:pPr>
      <w:r w:rsidRPr="00FF1696">
        <w:rPr>
          <w:rFonts w:ascii="Bookman Old Style" w:hAnsi="Bookman Old Style"/>
          <w:sz w:val="22"/>
          <w:szCs w:val="22"/>
          <w:u w:val="single"/>
        </w:rPr>
        <w:t>Из общего количества обращений:</w:t>
      </w:r>
    </w:p>
    <w:p w:rsidR="00EE1CED" w:rsidRPr="00FF1696" w:rsidRDefault="00EE1CED" w:rsidP="00EE1CED">
      <w:pPr>
        <w:spacing w:before="120" w:after="120"/>
        <w:ind w:firstLine="567"/>
        <w:jc w:val="both"/>
        <w:rPr>
          <w:rFonts w:ascii="Bookman Old Style" w:hAnsi="Bookman Old Style"/>
          <w:sz w:val="22"/>
          <w:szCs w:val="22"/>
        </w:rPr>
      </w:pPr>
      <w:r w:rsidRPr="00FF1696">
        <w:rPr>
          <w:rFonts w:ascii="Bookman Old Style" w:hAnsi="Bookman Old Style"/>
          <w:sz w:val="22"/>
          <w:szCs w:val="22"/>
        </w:rPr>
        <w:t>*3 обращения, или 37,5% приняты к рассмотрению Уполномоченным;</w:t>
      </w:r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 w:cs="Calibri"/>
          <w:sz w:val="22"/>
          <w:szCs w:val="22"/>
          <w:lang w:eastAsia="ru-RU"/>
        </w:rPr>
      </w:pPr>
      <w:proofErr w:type="gramStart"/>
      <w:r w:rsidRPr="00FF1696">
        <w:rPr>
          <w:rFonts w:ascii="Bookman Old Style" w:hAnsi="Bookman Old Style"/>
          <w:sz w:val="22"/>
          <w:szCs w:val="22"/>
        </w:rPr>
        <w:t>*5 обращений, или 62,5%</w:t>
      </w:r>
      <w:r w:rsidRPr="00FF1696">
        <w:rPr>
          <w:rFonts w:ascii="Bookman Old Style" w:hAnsi="Bookman Old Style" w:cs="Calibri"/>
          <w:sz w:val="22"/>
          <w:szCs w:val="22"/>
          <w:lang w:eastAsia="ru-RU"/>
        </w:rPr>
        <w:t xml:space="preserve"> направлены в учреждения для рассмотрения по подведомственности в соответствии требований п.3,ч.3,ст. 9 Федерального Закона «Об Уполномоченных по правам человека в субъектах Российской Федерации» № 48-ФЗ от 18.03.2020, и ч. 3 ст. 8 Федерального закона от 2 мая 2006 № 59 «О порядке рассмотрения обращений граждан Российской Федерации».</w:t>
      </w:r>
      <w:proofErr w:type="gramEnd"/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 w:cs="Bookman Old Style"/>
          <w:sz w:val="22"/>
          <w:szCs w:val="22"/>
          <w:lang w:eastAsia="ru-RU"/>
        </w:rPr>
      </w:pPr>
      <w:proofErr w:type="gramStart"/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t xml:space="preserve">Все поступившие обращения рассмотрены по существу, в необходимых случаях с проведением проверок, оказывалась юридическая консультация, </w:t>
      </w:r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lastRenderedPageBreak/>
        <w:t>правовая помощь, разъяснены способы и средства защиты прав ребенка, оказана юридическая помощь в урегулировании конфликтных ситуаций, подготовлены ответы, в установленные законом сроки.</w:t>
      </w:r>
      <w:proofErr w:type="gramEnd"/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 w:cs="Bookman Old Style"/>
          <w:sz w:val="22"/>
          <w:szCs w:val="22"/>
          <w:lang w:eastAsia="ru-RU"/>
        </w:rPr>
      </w:pPr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t xml:space="preserve">По обращениям граждан, направленных для рассмотрения по подведомственности в Прокуратуру Чукотского автономного округа и в Следственный комитет Следственного управления РФ по Чукотскому автономному округу, проведены проверки в порядке 144-145 УК РФ, По 2 </w:t>
      </w:r>
      <w:r w:rsidRPr="00FF1696">
        <w:rPr>
          <w:rFonts w:ascii="Bookman Old Style" w:hAnsi="Bookman Old Style"/>
          <w:sz w:val="22"/>
          <w:szCs w:val="22"/>
          <w:lang w:eastAsia="ru-RU"/>
        </w:rPr>
        <w:t xml:space="preserve">обращениям, или 25 % </w:t>
      </w:r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t xml:space="preserve">факты нарушения прав несовершеннолетних подтверждены. В отношении должностных лиц проведены проверки, лица привлечены к ответственности. </w:t>
      </w:r>
    </w:p>
    <w:p w:rsidR="00EE1CED" w:rsidRPr="00FF1696" w:rsidRDefault="00EE1CED" w:rsidP="00EE1CED">
      <w:pPr>
        <w:spacing w:before="120" w:after="120"/>
        <w:ind w:firstLine="567"/>
        <w:jc w:val="both"/>
        <w:rPr>
          <w:rFonts w:ascii="Bookman Old Style" w:hAnsi="Bookman Old Style"/>
          <w:i/>
          <w:sz w:val="22"/>
          <w:szCs w:val="22"/>
          <w:lang w:eastAsia="ru-RU"/>
        </w:rPr>
      </w:pPr>
      <w:r w:rsidRPr="00FF1696">
        <w:rPr>
          <w:rFonts w:ascii="Bookman Old Style" w:hAnsi="Bookman Old Style"/>
          <w:i/>
          <w:sz w:val="22"/>
          <w:szCs w:val="22"/>
          <w:lang w:eastAsia="ru-RU"/>
        </w:rPr>
        <w:t xml:space="preserve">По одному обращению выявлено нарушение прав несовершеннолетних. К Уполномоченному </w:t>
      </w:r>
      <w:proofErr w:type="gramStart"/>
      <w:r w:rsidRPr="00FF1696">
        <w:rPr>
          <w:rFonts w:ascii="Bookman Old Style" w:hAnsi="Bookman Old Style"/>
          <w:i/>
          <w:sz w:val="22"/>
          <w:szCs w:val="22"/>
          <w:lang w:eastAsia="ru-RU"/>
        </w:rPr>
        <w:t>обратилась бабушка несовершеннолетнего внука и просит</w:t>
      </w:r>
      <w:proofErr w:type="gramEnd"/>
      <w:r w:rsidRPr="00FF1696">
        <w:rPr>
          <w:rFonts w:ascii="Bookman Old Style" w:hAnsi="Bookman Old Style"/>
          <w:i/>
          <w:sz w:val="22"/>
          <w:szCs w:val="22"/>
          <w:lang w:eastAsia="ru-RU"/>
        </w:rPr>
        <w:t xml:space="preserve"> оказать содействие в предоставление информации о дочери 1991 г.р. и внука, которые находятся в Магадане. Ребенка забрали в Дом малютки органы опеки, дочь пьет. Просила оказать помощь в </w:t>
      </w:r>
      <w:proofErr w:type="gramStart"/>
      <w:r w:rsidRPr="00FF1696">
        <w:rPr>
          <w:rFonts w:ascii="Bookman Old Style" w:hAnsi="Bookman Old Style"/>
          <w:i/>
          <w:sz w:val="22"/>
          <w:szCs w:val="22"/>
          <w:lang w:eastAsia="ru-RU"/>
        </w:rPr>
        <w:t>предоставлении</w:t>
      </w:r>
      <w:proofErr w:type="gramEnd"/>
      <w:r w:rsidRPr="00FF1696">
        <w:rPr>
          <w:rFonts w:ascii="Bookman Old Style" w:hAnsi="Bookman Old Style"/>
          <w:i/>
          <w:sz w:val="22"/>
          <w:szCs w:val="22"/>
          <w:lang w:eastAsia="ru-RU"/>
        </w:rPr>
        <w:t xml:space="preserve"> контактов органов опеки в Магадане, а также возможность приехать и забрать внука. Уполномоченным проведена работа, направленная на  восстановление нарушенных прав несовершеннолетнего. В марте </w:t>
      </w:r>
      <w:r w:rsidRPr="00FF1696">
        <w:rPr>
          <w:rFonts w:ascii="Bookman Old Style" w:hAnsi="Bookman Old Style" w:cs="Calibri"/>
          <w:i/>
          <w:sz w:val="22"/>
          <w:szCs w:val="22"/>
          <w:lang w:eastAsia="ru-RU"/>
        </w:rPr>
        <w:t xml:space="preserve">заявительница сообщила, что прилетела в г. Магадан и вопрос с внуком решен положительно. Внука забрала и вместе с мамой ребенка увезла к себе по месту жительства в г. Владивосток. </w:t>
      </w:r>
    </w:p>
    <w:p w:rsidR="00EE1CED" w:rsidRPr="00FF1696" w:rsidRDefault="00EE1CED" w:rsidP="00EE1CED">
      <w:pPr>
        <w:spacing w:before="120" w:after="120"/>
        <w:ind w:firstLine="567"/>
        <w:jc w:val="both"/>
        <w:rPr>
          <w:rFonts w:ascii="Bookman Old Style" w:hAnsi="Bookman Old Style"/>
          <w:sz w:val="22"/>
          <w:szCs w:val="22"/>
          <w:lang w:eastAsia="ru-RU"/>
        </w:rPr>
      </w:pPr>
      <w:r w:rsidRPr="00FF1696">
        <w:rPr>
          <w:rFonts w:ascii="Bookman Old Style" w:hAnsi="Bookman Old Style"/>
          <w:sz w:val="22"/>
          <w:szCs w:val="22"/>
          <w:lang w:eastAsia="ru-RU"/>
        </w:rPr>
        <w:t>В 62% случаев были даны разъяснения в соответствии с законодательством. Совместно с заявителями прорабатывался порядок защиты прав. Осуществлялось кураторство до разрешения ситуации.</w:t>
      </w:r>
    </w:p>
    <w:p w:rsidR="00EE1CED" w:rsidRPr="00FF1696" w:rsidRDefault="00EE1CED" w:rsidP="00EE1CED">
      <w:pPr>
        <w:suppressAutoHyphens w:val="0"/>
        <w:spacing w:before="120" w:after="120"/>
        <w:ind w:firstLine="567"/>
        <w:jc w:val="both"/>
        <w:rPr>
          <w:rFonts w:ascii="Bookman Old Style" w:hAnsi="Bookman Old Style" w:cs="Bookman Old Style"/>
          <w:sz w:val="22"/>
          <w:szCs w:val="22"/>
          <w:lang w:eastAsia="ru-RU"/>
        </w:rPr>
      </w:pPr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t xml:space="preserve">Мониторинг ситуации на основании обращений граждан, выработка системы обратной связи с заявителем - основная составляющая деятельности Уполномоченного. Реализуя данную задачу, Уполномоченный выстраивает действенное взаимодействие с органами государственной власти и органами местного самоуправления, средствами массовой информации и общественностью. </w:t>
      </w:r>
    </w:p>
    <w:p w:rsidR="00F41E5B" w:rsidRPr="00FF1696" w:rsidRDefault="00EE1CED" w:rsidP="00EE1CED">
      <w:pPr>
        <w:suppressAutoHyphens w:val="0"/>
        <w:spacing w:before="120" w:after="120"/>
        <w:ind w:firstLine="567"/>
        <w:jc w:val="both"/>
        <w:rPr>
          <w:sz w:val="22"/>
          <w:szCs w:val="22"/>
        </w:rPr>
      </w:pPr>
      <w:r w:rsidRPr="00FF1696">
        <w:rPr>
          <w:rFonts w:ascii="Bookman Old Style" w:hAnsi="Bookman Old Style" w:cs="Bookman Old Style"/>
          <w:sz w:val="22"/>
          <w:szCs w:val="22"/>
          <w:lang w:eastAsia="ru-RU"/>
        </w:rPr>
        <w:t>В силу заявительного характера работы Уполномоченного, в его поле зрения попадают только факты нарушения прав ребенка: как реальные, так и предполагаемые случаи. В силу этой специфики деятельности Уполномоченного, он при рассмотрении фактов конкретных нарушений прав ребенка, выявляет системные проблемы в деятельности органов, защищающих интересы несовершеннолетних, с целью профилактики и недопущения подобного в будущем.</w:t>
      </w:r>
      <w:r w:rsidRPr="00FF1696">
        <w:rPr>
          <w:rFonts w:ascii="Bookman Old Style" w:hAnsi="Bookman Old Style"/>
          <w:b/>
          <w:sz w:val="22"/>
          <w:szCs w:val="22"/>
          <w:lang w:eastAsia="ru-RU"/>
        </w:rPr>
        <w:t xml:space="preserve"> </w:t>
      </w:r>
      <w:bookmarkStart w:id="0" w:name="_GoBack"/>
      <w:bookmarkEnd w:id="0"/>
    </w:p>
    <w:sectPr w:rsidR="00F41E5B" w:rsidRPr="00F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E"/>
    <w:rsid w:val="00220BCE"/>
    <w:rsid w:val="00886404"/>
    <w:rsid w:val="00D7737D"/>
    <w:rsid w:val="00EC6BE2"/>
    <w:rsid w:val="00EE1CED"/>
    <w:rsid w:val="00EE6C0C"/>
    <w:rsid w:val="00F41E5B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Кольцюк Вера Викторовна</dc:creator>
  <cp:lastModifiedBy>Кольцюк Вера Викторовна</cp:lastModifiedBy>
  <cp:revision>4</cp:revision>
  <dcterms:created xsi:type="dcterms:W3CDTF">2022-08-12T02:34:00Z</dcterms:created>
  <dcterms:modified xsi:type="dcterms:W3CDTF">2022-08-12T02:47:00Z</dcterms:modified>
</cp:coreProperties>
</file>