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3E" w:rsidRDefault="00DD0445" w:rsidP="00DD0445">
      <w:pPr>
        <w:shd w:val="clear" w:color="auto" w:fill="FFFFFF"/>
        <w:spacing w:after="72" w:line="312" w:lineRule="atLeast"/>
        <w:jc w:val="center"/>
        <w:outlineLvl w:val="0"/>
        <w:rPr>
          <w:rFonts w:ascii="Bookman Old Style" w:eastAsia="Times New Roman" w:hAnsi="Bookman Old Style" w:cs="Lucida Sans Unicode"/>
          <w:b/>
          <w:color w:val="222222"/>
          <w:kern w:val="36"/>
          <w:sz w:val="24"/>
          <w:szCs w:val="24"/>
          <w:lang w:eastAsia="ru-RU"/>
        </w:rPr>
      </w:pPr>
      <w:r w:rsidRPr="00880881">
        <w:rPr>
          <w:rFonts w:ascii="Bookman Old Style" w:eastAsia="Times New Roman" w:hAnsi="Bookman Old Style" w:cs="Lucida Sans Unicode"/>
          <w:b/>
          <w:color w:val="222222"/>
          <w:kern w:val="36"/>
          <w:sz w:val="24"/>
          <w:szCs w:val="24"/>
          <w:lang w:eastAsia="ru-RU"/>
        </w:rPr>
        <w:t>Маркировка лекарств, обуви и табака стала обязательной</w:t>
      </w:r>
    </w:p>
    <w:p w:rsidR="00DD0445" w:rsidRPr="00880881" w:rsidRDefault="00DD0445" w:rsidP="00DD0445">
      <w:pPr>
        <w:shd w:val="clear" w:color="auto" w:fill="FFFFFF"/>
        <w:spacing w:after="72" w:line="312" w:lineRule="atLeast"/>
        <w:jc w:val="center"/>
        <w:outlineLvl w:val="0"/>
        <w:rPr>
          <w:rFonts w:ascii="Bookman Old Style" w:eastAsia="Times New Roman" w:hAnsi="Bookman Old Style" w:cs="Lucida Sans Unicode"/>
          <w:color w:val="222222"/>
          <w:kern w:val="36"/>
          <w:sz w:val="20"/>
          <w:szCs w:val="20"/>
          <w:lang w:eastAsia="ru-RU"/>
        </w:rPr>
      </w:pPr>
      <w:bookmarkStart w:id="0" w:name="_GoBack"/>
      <w:bookmarkEnd w:id="0"/>
      <w:r>
        <w:rPr>
          <w:rFonts w:ascii="Bookman Old Style" w:eastAsia="Times New Roman" w:hAnsi="Bookman Old Style" w:cs="Lucida Sans Unicode"/>
          <w:b/>
          <w:color w:val="222222"/>
          <w:kern w:val="36"/>
          <w:sz w:val="24"/>
          <w:szCs w:val="24"/>
          <w:lang w:eastAsia="ru-RU"/>
        </w:rPr>
        <w:t xml:space="preserve"> </w:t>
      </w:r>
      <w:r w:rsidRPr="00DD0445">
        <w:rPr>
          <w:rFonts w:ascii="Bookman Old Style" w:eastAsia="Times New Roman" w:hAnsi="Bookman Old Style" w:cs="Lucida Sans Unicode"/>
          <w:color w:val="222222"/>
          <w:kern w:val="36"/>
          <w:sz w:val="20"/>
          <w:szCs w:val="20"/>
          <w:lang w:eastAsia="ru-RU"/>
        </w:rPr>
        <w:t>(15.07.2020)</w:t>
      </w:r>
    </w:p>
    <w:p w:rsidR="00DD0445" w:rsidRPr="00880881" w:rsidRDefault="00DD0445" w:rsidP="00DD0445">
      <w:pPr>
        <w:shd w:val="clear" w:color="auto" w:fill="FFFFFF"/>
        <w:spacing w:before="120" w:after="120" w:line="240" w:lineRule="auto"/>
        <w:ind w:firstLine="708"/>
        <w:jc w:val="both"/>
        <w:rPr>
          <w:rFonts w:ascii="Bookman Old Style" w:eastAsia="Times New Roman" w:hAnsi="Bookman Old Style" w:cs="Lucida Sans Unicode"/>
          <w:color w:val="222222"/>
          <w:sz w:val="24"/>
          <w:szCs w:val="24"/>
          <w:lang w:eastAsia="ru-RU"/>
        </w:rPr>
      </w:pPr>
      <w:r w:rsidRPr="00880881">
        <w:rPr>
          <w:rFonts w:ascii="Bookman Old Style" w:eastAsia="Times New Roman" w:hAnsi="Bookman Old Style" w:cs="Lucida Sans Unicode"/>
          <w:color w:val="222222"/>
          <w:sz w:val="24"/>
          <w:szCs w:val="24"/>
          <w:lang w:eastAsia="ru-RU"/>
        </w:rPr>
        <w:t>С 1 июля в России вступил в силу запрет на оборот немаркированных специальными средствами идентификации лекарств, обуви и табака.</w:t>
      </w:r>
    </w:p>
    <w:p w:rsidR="00DD0445" w:rsidRPr="00880881" w:rsidRDefault="00DD0445" w:rsidP="00DD0445">
      <w:pPr>
        <w:shd w:val="clear" w:color="auto" w:fill="FFFFFF"/>
        <w:spacing w:before="120" w:after="120" w:line="240" w:lineRule="auto"/>
        <w:jc w:val="both"/>
        <w:rPr>
          <w:rFonts w:ascii="Bookman Old Style" w:eastAsia="Times New Roman" w:hAnsi="Bookman Old Style" w:cs="Lucida Sans Unicode"/>
          <w:color w:val="222222"/>
          <w:sz w:val="24"/>
          <w:szCs w:val="24"/>
          <w:lang w:eastAsia="ru-RU"/>
        </w:rPr>
      </w:pPr>
      <w:r w:rsidRPr="00880881">
        <w:rPr>
          <w:rFonts w:ascii="Bookman Old Style" w:eastAsia="Times New Roman" w:hAnsi="Bookman Old Style" w:cs="Lucida Sans Unicode"/>
          <w:color w:val="222222"/>
          <w:sz w:val="24"/>
          <w:szCs w:val="24"/>
          <w:lang w:eastAsia="ru-RU"/>
        </w:rPr>
        <w:t>Маркировка позволит проследить весь путь товара: от производства до прилавка магазина или аптеки. Это даст уверенность потребителю в том, что товары произведены законно и их качество соответствует заявленному.</w:t>
      </w:r>
    </w:p>
    <w:p w:rsidR="00F41E5B" w:rsidRDefault="00DD0445" w:rsidP="00DD0445">
      <w:pPr>
        <w:spacing w:before="120" w:after="120" w:line="240" w:lineRule="auto"/>
        <w:jc w:val="both"/>
        <w:rPr>
          <w:rFonts w:ascii="Bookman Old Style" w:eastAsia="Times New Roman" w:hAnsi="Bookman Old Style" w:cs="Lucida Sans Unicode"/>
          <w:color w:val="222222"/>
          <w:sz w:val="24"/>
          <w:szCs w:val="24"/>
          <w:lang w:eastAsia="ru-RU"/>
        </w:rPr>
      </w:pPr>
      <w:r w:rsidRPr="00880881">
        <w:rPr>
          <w:rFonts w:ascii="Bookman Old Style" w:eastAsia="Times New Roman" w:hAnsi="Bookman Old Style" w:cs="Lucida Sans Unicode"/>
          <w:color w:val="222222"/>
          <w:sz w:val="24"/>
          <w:szCs w:val="24"/>
          <w:lang w:eastAsia="ru-RU"/>
        </w:rPr>
        <w:t>Торговля маркированной продукцией не повлечет за собой какого-либо дефицита, однако в ряде случаев может повлиять на стоимость продукции, так как предприниматели в новых условиях вынуждены нести</w:t>
      </w:r>
      <w:r>
        <w:rPr>
          <w:rFonts w:ascii="Bookman Old Style" w:eastAsia="Times New Roman" w:hAnsi="Bookman Old Style" w:cs="Lucida Sans Unicode"/>
          <w:color w:val="222222"/>
          <w:sz w:val="24"/>
          <w:szCs w:val="24"/>
          <w:lang w:eastAsia="ru-RU"/>
        </w:rPr>
        <w:t xml:space="preserve"> </w:t>
      </w:r>
      <w:r w:rsidRPr="00880881">
        <w:rPr>
          <w:rFonts w:ascii="Bookman Old Style" w:eastAsia="Times New Roman" w:hAnsi="Bookman Old Style" w:cs="Lucida Sans Unicode"/>
          <w:color w:val="222222"/>
          <w:sz w:val="24"/>
          <w:szCs w:val="24"/>
          <w:lang w:eastAsia="ru-RU"/>
        </w:rPr>
        <w:t>дополнительные затраты.</w:t>
      </w:r>
    </w:p>
    <w:p w:rsidR="00DD0445" w:rsidRDefault="00DD0445" w:rsidP="00DD0445">
      <w:pPr>
        <w:spacing w:before="120" w:after="120" w:line="240" w:lineRule="auto"/>
        <w:jc w:val="both"/>
      </w:pPr>
    </w:p>
    <w:p w:rsidR="00DD0445" w:rsidRPr="00880881" w:rsidRDefault="00DD0445" w:rsidP="00DD0445">
      <w:pPr>
        <w:shd w:val="clear" w:color="auto" w:fill="FFFFFF"/>
        <w:spacing w:after="72" w:line="312" w:lineRule="atLeast"/>
        <w:jc w:val="center"/>
        <w:outlineLvl w:val="0"/>
        <w:rPr>
          <w:rFonts w:ascii="Bookman Old Style" w:eastAsia="Times New Roman" w:hAnsi="Bookman Old Style" w:cs="Lucida Sans Unicode"/>
          <w:b/>
          <w:color w:val="222222"/>
          <w:kern w:val="36"/>
          <w:sz w:val="24"/>
          <w:szCs w:val="24"/>
          <w:lang w:eastAsia="ru-RU"/>
        </w:rPr>
      </w:pPr>
      <w:r w:rsidRPr="00880881">
        <w:rPr>
          <w:rFonts w:ascii="Bookman Old Style" w:eastAsia="Times New Roman" w:hAnsi="Bookman Old Style" w:cs="Lucida Sans Unicode"/>
          <w:b/>
          <w:color w:val="222222"/>
          <w:kern w:val="36"/>
          <w:sz w:val="24"/>
          <w:szCs w:val="24"/>
          <w:lang w:eastAsia="ru-RU"/>
        </w:rPr>
        <w:t xml:space="preserve">Поверка и замена электросчетчиков – забота </w:t>
      </w:r>
      <w:proofErr w:type="spellStart"/>
      <w:r w:rsidRPr="00880881">
        <w:rPr>
          <w:rFonts w:ascii="Bookman Old Style" w:eastAsia="Times New Roman" w:hAnsi="Bookman Old Style" w:cs="Lucida Sans Unicode"/>
          <w:b/>
          <w:color w:val="222222"/>
          <w:kern w:val="36"/>
          <w:sz w:val="24"/>
          <w:szCs w:val="24"/>
          <w:lang w:eastAsia="ru-RU"/>
        </w:rPr>
        <w:t>энергосбыта</w:t>
      </w:r>
      <w:proofErr w:type="spellEnd"/>
      <w:r w:rsidRPr="00880881">
        <w:rPr>
          <w:rFonts w:ascii="Bookman Old Style" w:eastAsia="Times New Roman" w:hAnsi="Bookman Old Style" w:cs="Lucida Sans Unicode"/>
          <w:b/>
          <w:color w:val="222222"/>
          <w:kern w:val="36"/>
          <w:sz w:val="24"/>
          <w:szCs w:val="24"/>
          <w:lang w:eastAsia="ru-RU"/>
        </w:rPr>
        <w:t xml:space="preserve"> и </w:t>
      </w:r>
      <w:proofErr w:type="spellStart"/>
      <w:r w:rsidRPr="00880881">
        <w:rPr>
          <w:rFonts w:ascii="Bookman Old Style" w:eastAsia="Times New Roman" w:hAnsi="Bookman Old Style" w:cs="Lucida Sans Unicode"/>
          <w:b/>
          <w:color w:val="222222"/>
          <w:kern w:val="36"/>
          <w:sz w:val="24"/>
          <w:szCs w:val="24"/>
          <w:lang w:eastAsia="ru-RU"/>
        </w:rPr>
        <w:t>сетевиков</w:t>
      </w:r>
      <w:proofErr w:type="spellEnd"/>
    </w:p>
    <w:p w:rsidR="00DD0445" w:rsidRDefault="00DD0445" w:rsidP="00DD0445">
      <w:pPr>
        <w:shd w:val="clear" w:color="auto" w:fill="FFFFFF"/>
        <w:spacing w:before="120" w:after="120" w:line="240" w:lineRule="auto"/>
        <w:ind w:firstLine="708"/>
        <w:jc w:val="both"/>
        <w:rPr>
          <w:rFonts w:ascii="Bookman Old Style" w:eastAsia="Times New Roman" w:hAnsi="Bookman Old Style" w:cs="Lucida Sans Unicode"/>
          <w:color w:val="222222"/>
          <w:sz w:val="24"/>
          <w:szCs w:val="24"/>
          <w:lang w:eastAsia="ru-RU"/>
        </w:rPr>
      </w:pPr>
      <w:r w:rsidRPr="00880881">
        <w:rPr>
          <w:rFonts w:ascii="Bookman Old Style" w:eastAsia="Times New Roman" w:hAnsi="Bookman Old Style" w:cs="Lucida Sans Unicode"/>
          <w:color w:val="222222"/>
          <w:sz w:val="24"/>
          <w:szCs w:val="24"/>
          <w:lang w:eastAsia="ru-RU"/>
        </w:rPr>
        <w:t>1 июля 2020 года вступили в силу </w:t>
      </w:r>
      <w:hyperlink r:id="rId5" w:anchor="block_152" w:tgtFrame="_blank" w:history="1">
        <w:r w:rsidRPr="00880881">
          <w:rPr>
            <w:rFonts w:ascii="Bookman Old Style" w:eastAsia="Times New Roman" w:hAnsi="Bookman Old Style" w:cs="Lucida Sans Unicode"/>
            <w:color w:val="204669"/>
            <w:sz w:val="24"/>
            <w:szCs w:val="24"/>
            <w:lang w:eastAsia="ru-RU"/>
          </w:rPr>
          <w:t>поправки</w:t>
        </w:r>
      </w:hyperlink>
      <w:r w:rsidRPr="00880881">
        <w:rPr>
          <w:rFonts w:ascii="Bookman Old Style" w:eastAsia="Times New Roman" w:hAnsi="Bookman Old Style" w:cs="Lucida Sans Unicode"/>
          <w:color w:val="222222"/>
          <w:sz w:val="24"/>
          <w:szCs w:val="24"/>
          <w:lang w:eastAsia="ru-RU"/>
        </w:rPr>
        <w:t> к Закону от 26 марта 2003 г. № 35-ФЗ "</w:t>
      </w:r>
      <w:hyperlink r:id="rId6" w:tgtFrame="_blank" w:history="1">
        <w:r w:rsidRPr="00880881">
          <w:rPr>
            <w:rFonts w:ascii="Bookman Old Style" w:eastAsia="Times New Roman" w:hAnsi="Bookman Old Style" w:cs="Lucida Sans Unicode"/>
            <w:color w:val="204669"/>
            <w:sz w:val="24"/>
            <w:szCs w:val="24"/>
            <w:lang w:eastAsia="ru-RU"/>
          </w:rPr>
          <w:t>Об электроэнергетике</w:t>
        </w:r>
      </w:hyperlink>
      <w:r w:rsidRPr="00880881">
        <w:rPr>
          <w:rFonts w:ascii="Bookman Old Style" w:eastAsia="Times New Roman" w:hAnsi="Bookman Old Style" w:cs="Lucida Sans Unicode"/>
          <w:color w:val="222222"/>
          <w:sz w:val="24"/>
          <w:szCs w:val="24"/>
          <w:lang w:eastAsia="ru-RU"/>
        </w:rPr>
        <w:t>", которыми полностью пересматриваются отношения по учету потребляемого электричества (</w:t>
      </w:r>
      <w:hyperlink r:id="rId7" w:anchor="block_152" w:tgtFrame="_blank" w:history="1">
        <w:r w:rsidRPr="00880881">
          <w:rPr>
            <w:rFonts w:ascii="Bookman Old Style" w:eastAsia="Times New Roman" w:hAnsi="Bookman Old Style" w:cs="Lucida Sans Unicode"/>
            <w:color w:val="204669"/>
            <w:sz w:val="24"/>
            <w:szCs w:val="24"/>
            <w:lang w:eastAsia="ru-RU"/>
          </w:rPr>
          <w:t>Федеральный закон от 27 декабря 2018 г. № 522-ФЗ</w:t>
        </w:r>
      </w:hyperlink>
      <w:r w:rsidRPr="00880881">
        <w:rPr>
          <w:rFonts w:ascii="Bookman Old Style" w:eastAsia="Times New Roman" w:hAnsi="Bookman Old Style" w:cs="Lucida Sans Unicode"/>
          <w:color w:val="222222"/>
          <w:sz w:val="24"/>
          <w:szCs w:val="24"/>
          <w:lang w:eastAsia="ru-RU"/>
        </w:rPr>
        <w:t xml:space="preserve">). </w:t>
      </w:r>
      <w:proofErr w:type="gramStart"/>
      <w:r w:rsidRPr="00880881">
        <w:rPr>
          <w:rFonts w:ascii="Bookman Old Style" w:eastAsia="Times New Roman" w:hAnsi="Bookman Old Style" w:cs="Lucida Sans Unicode"/>
          <w:color w:val="222222"/>
          <w:sz w:val="24"/>
          <w:szCs w:val="24"/>
          <w:lang w:eastAsia="ru-RU"/>
        </w:rPr>
        <w:t>Если до этой даты все связанные со счетчиками электричества обязанности:</w:t>
      </w:r>
      <w:r>
        <w:rPr>
          <w:rFonts w:ascii="Bookman Old Style" w:eastAsia="Times New Roman" w:hAnsi="Bookman Old Style" w:cs="Lucida Sans Unicode"/>
          <w:color w:val="222222"/>
          <w:sz w:val="24"/>
          <w:szCs w:val="24"/>
          <w:lang w:eastAsia="ru-RU"/>
        </w:rPr>
        <w:t xml:space="preserve"> </w:t>
      </w:r>
      <w:r w:rsidRPr="00880881">
        <w:rPr>
          <w:rFonts w:ascii="Bookman Old Style" w:eastAsia="Times New Roman" w:hAnsi="Bookman Old Style" w:cs="Lucida Sans Unicode"/>
          <w:color w:val="222222"/>
          <w:sz w:val="24"/>
          <w:szCs w:val="24"/>
          <w:lang w:eastAsia="ru-RU"/>
        </w:rPr>
        <w:t>иметь счетчик,</w:t>
      </w:r>
      <w:r>
        <w:rPr>
          <w:rFonts w:ascii="Bookman Old Style" w:eastAsia="Times New Roman" w:hAnsi="Bookman Old Style" w:cs="Lucida Sans Unicode"/>
          <w:color w:val="222222"/>
          <w:sz w:val="24"/>
          <w:szCs w:val="24"/>
          <w:lang w:eastAsia="ru-RU"/>
        </w:rPr>
        <w:t xml:space="preserve"> </w:t>
      </w:r>
      <w:r w:rsidRPr="00880881">
        <w:rPr>
          <w:rFonts w:ascii="Bookman Old Style" w:eastAsia="Times New Roman" w:hAnsi="Bookman Old Style" w:cs="Lucida Sans Unicode"/>
          <w:color w:val="222222"/>
          <w:sz w:val="24"/>
          <w:szCs w:val="24"/>
          <w:lang w:eastAsia="ru-RU"/>
        </w:rPr>
        <w:t>следить за сроками поверки и организовывать поверку ИПУ,</w:t>
      </w:r>
      <w:r>
        <w:rPr>
          <w:rFonts w:ascii="Bookman Old Style" w:eastAsia="Times New Roman" w:hAnsi="Bookman Old Style" w:cs="Lucida Sans Unicode"/>
          <w:color w:val="222222"/>
          <w:sz w:val="24"/>
          <w:szCs w:val="24"/>
          <w:lang w:eastAsia="ru-RU"/>
        </w:rPr>
        <w:t xml:space="preserve"> </w:t>
      </w:r>
      <w:r w:rsidRPr="00880881">
        <w:rPr>
          <w:rFonts w:ascii="Bookman Old Style" w:eastAsia="Times New Roman" w:hAnsi="Bookman Old Style" w:cs="Lucida Sans Unicode"/>
          <w:color w:val="222222"/>
          <w:sz w:val="24"/>
          <w:szCs w:val="24"/>
          <w:lang w:eastAsia="ru-RU"/>
        </w:rPr>
        <w:t>заменять на новый, если старый сломался,</w:t>
      </w:r>
      <w:r>
        <w:rPr>
          <w:rFonts w:ascii="Bookman Old Style" w:eastAsia="Times New Roman" w:hAnsi="Bookman Old Style" w:cs="Lucida Sans Unicode"/>
          <w:color w:val="222222"/>
          <w:sz w:val="24"/>
          <w:szCs w:val="24"/>
          <w:lang w:eastAsia="ru-RU"/>
        </w:rPr>
        <w:t xml:space="preserve"> </w:t>
      </w:r>
      <w:r w:rsidRPr="00880881">
        <w:rPr>
          <w:rFonts w:ascii="Bookman Old Style" w:eastAsia="Times New Roman" w:hAnsi="Bookman Old Style" w:cs="Lucida Sans Unicode"/>
          <w:color w:val="222222"/>
          <w:sz w:val="24"/>
          <w:szCs w:val="24"/>
          <w:lang w:eastAsia="ru-RU"/>
        </w:rPr>
        <w:t>передавать показания,</w:t>
      </w:r>
      <w:r>
        <w:rPr>
          <w:rFonts w:ascii="Bookman Old Style" w:eastAsia="Times New Roman" w:hAnsi="Bookman Old Style" w:cs="Lucida Sans Unicode"/>
          <w:color w:val="222222"/>
          <w:sz w:val="24"/>
          <w:szCs w:val="24"/>
          <w:lang w:eastAsia="ru-RU"/>
        </w:rPr>
        <w:t xml:space="preserve"> </w:t>
      </w:r>
      <w:r w:rsidRPr="00880881">
        <w:rPr>
          <w:rFonts w:ascii="Bookman Old Style" w:eastAsia="Times New Roman" w:hAnsi="Bookman Old Style" w:cs="Lucida Sans Unicode"/>
          <w:color w:val="222222"/>
          <w:sz w:val="24"/>
          <w:szCs w:val="24"/>
          <w:lang w:eastAsia="ru-RU"/>
        </w:rPr>
        <w:t>были у потребителей, то с начала июля коммерческий учет электроэнергии обеспечивают гарантирующие поставщики и сетевые организации.</w:t>
      </w:r>
      <w:proofErr w:type="gramEnd"/>
      <w:r w:rsidRPr="00880881">
        <w:rPr>
          <w:rFonts w:ascii="Bookman Old Style" w:eastAsia="Times New Roman" w:hAnsi="Bookman Old Style" w:cs="Lucida Sans Unicode"/>
          <w:color w:val="222222"/>
          <w:sz w:val="24"/>
          <w:szCs w:val="24"/>
          <w:lang w:eastAsia="ru-RU"/>
        </w:rPr>
        <w:t xml:space="preserve"> Причем это правило касается как простых граждан-потребителей коммунальных услуг по электроснабжению, так и остальных потребителей электроэнергии (мощности) на розничных рынках.</w:t>
      </w:r>
    </w:p>
    <w:p w:rsidR="00DD0445" w:rsidRDefault="00DD0445" w:rsidP="00DD0445">
      <w:pPr>
        <w:shd w:val="clear" w:color="auto" w:fill="FFFFFF"/>
        <w:spacing w:before="120" w:after="120" w:line="240" w:lineRule="auto"/>
        <w:ind w:firstLine="709"/>
        <w:jc w:val="both"/>
        <w:rPr>
          <w:rFonts w:ascii="Bookman Old Style" w:eastAsia="Times New Roman" w:hAnsi="Bookman Old Style" w:cs="Lucida Sans Unicode"/>
          <w:color w:val="222222"/>
          <w:sz w:val="24"/>
          <w:szCs w:val="24"/>
          <w:lang w:eastAsia="ru-RU"/>
        </w:rPr>
      </w:pPr>
    </w:p>
    <w:p w:rsidR="00DD0445" w:rsidRPr="00880881" w:rsidRDefault="00DD0445" w:rsidP="00DD0445">
      <w:pPr>
        <w:shd w:val="clear" w:color="auto" w:fill="FFFFFF"/>
        <w:spacing w:after="72" w:line="312" w:lineRule="atLeast"/>
        <w:jc w:val="center"/>
        <w:outlineLvl w:val="0"/>
        <w:rPr>
          <w:rFonts w:ascii="Bookman Old Style" w:eastAsia="Times New Roman" w:hAnsi="Bookman Old Style" w:cs="Lucida Sans Unicode"/>
          <w:b/>
          <w:color w:val="222222"/>
          <w:kern w:val="36"/>
          <w:sz w:val="24"/>
          <w:szCs w:val="24"/>
          <w:lang w:eastAsia="ru-RU"/>
        </w:rPr>
      </w:pPr>
      <w:r w:rsidRPr="00880881">
        <w:rPr>
          <w:rFonts w:ascii="Bookman Old Style" w:eastAsia="Times New Roman" w:hAnsi="Bookman Old Style" w:cs="Lucida Sans Unicode"/>
          <w:b/>
          <w:color w:val="222222"/>
          <w:kern w:val="36"/>
          <w:sz w:val="24"/>
          <w:szCs w:val="24"/>
          <w:lang w:eastAsia="ru-RU"/>
        </w:rPr>
        <w:t xml:space="preserve">ПЦР-анализ на COVID-19 для пациента, который </w:t>
      </w:r>
      <w:proofErr w:type="spellStart"/>
      <w:r w:rsidRPr="00880881">
        <w:rPr>
          <w:rFonts w:ascii="Bookman Old Style" w:eastAsia="Times New Roman" w:hAnsi="Bookman Old Style" w:cs="Lucida Sans Unicode"/>
          <w:b/>
          <w:color w:val="222222"/>
          <w:kern w:val="36"/>
          <w:sz w:val="24"/>
          <w:szCs w:val="24"/>
          <w:lang w:eastAsia="ru-RU"/>
        </w:rPr>
        <w:t>планово</w:t>
      </w:r>
      <w:proofErr w:type="spellEnd"/>
      <w:r w:rsidRPr="00880881">
        <w:rPr>
          <w:rFonts w:ascii="Bookman Old Style" w:eastAsia="Times New Roman" w:hAnsi="Bookman Old Style" w:cs="Lucida Sans Unicode"/>
          <w:b/>
          <w:color w:val="222222"/>
          <w:kern w:val="36"/>
          <w:sz w:val="24"/>
          <w:szCs w:val="24"/>
          <w:lang w:eastAsia="ru-RU"/>
        </w:rPr>
        <w:t xml:space="preserve"> ложится в больницу, должно осуществляться за счет средств ОМС</w:t>
      </w:r>
    </w:p>
    <w:p w:rsidR="00DD0445" w:rsidRPr="00880881" w:rsidRDefault="00DD0445" w:rsidP="00DD0445">
      <w:pPr>
        <w:shd w:val="clear" w:color="auto" w:fill="FFFFFF"/>
        <w:spacing w:before="96" w:after="192" w:line="360" w:lineRule="atLeast"/>
        <w:ind w:firstLine="708"/>
        <w:jc w:val="both"/>
        <w:rPr>
          <w:rFonts w:ascii="Bookman Old Style" w:eastAsia="Times New Roman" w:hAnsi="Bookman Old Style" w:cs="Lucida Sans Unicode"/>
          <w:color w:val="222222"/>
          <w:sz w:val="24"/>
          <w:szCs w:val="24"/>
          <w:lang w:eastAsia="ru-RU"/>
        </w:rPr>
      </w:pPr>
      <w:r w:rsidRPr="00880881">
        <w:rPr>
          <w:rFonts w:ascii="Bookman Old Style" w:eastAsia="Times New Roman" w:hAnsi="Bookman Old Style" w:cs="Lucida Sans Unicode"/>
          <w:color w:val="222222"/>
          <w:sz w:val="24"/>
          <w:szCs w:val="24"/>
          <w:lang w:eastAsia="ru-RU"/>
        </w:rPr>
        <w:t>Федеральный фонд ОМС разъяснил (</w:t>
      </w:r>
      <w:hyperlink r:id="rId8" w:tgtFrame="_blank" w:history="1">
        <w:r w:rsidRPr="00880881">
          <w:rPr>
            <w:rFonts w:ascii="Bookman Old Style" w:eastAsia="Times New Roman" w:hAnsi="Bookman Old Style" w:cs="Lucida Sans Unicode"/>
            <w:color w:val="204669"/>
            <w:sz w:val="24"/>
            <w:szCs w:val="24"/>
            <w:lang w:eastAsia="ru-RU"/>
          </w:rPr>
          <w:t>письмо ФФОМС от 17 июня 2020 г. № 7996/30/и</w:t>
        </w:r>
      </w:hyperlink>
      <w:r w:rsidRPr="00880881">
        <w:rPr>
          <w:rFonts w:ascii="Bookman Old Style" w:eastAsia="Times New Roman" w:hAnsi="Bookman Old Style" w:cs="Lucida Sans Unicode"/>
          <w:color w:val="222222"/>
          <w:sz w:val="24"/>
          <w:szCs w:val="24"/>
          <w:lang w:eastAsia="ru-RU"/>
        </w:rPr>
        <w:t xml:space="preserve">), что лабораторные исследования биоматериала пациента (мазок из </w:t>
      </w:r>
      <w:proofErr w:type="spellStart"/>
      <w:r w:rsidRPr="00880881">
        <w:rPr>
          <w:rFonts w:ascii="Bookman Old Style" w:eastAsia="Times New Roman" w:hAnsi="Bookman Old Style" w:cs="Lucida Sans Unicode"/>
          <w:color w:val="222222"/>
          <w:sz w:val="24"/>
          <w:szCs w:val="24"/>
          <w:lang w:eastAsia="ru-RU"/>
        </w:rPr>
        <w:t>нос</w:t>
      </w:r>
      <w:proofErr w:type="gramStart"/>
      <w:r w:rsidRPr="00880881">
        <w:rPr>
          <w:rFonts w:ascii="Bookman Old Style" w:eastAsia="Times New Roman" w:hAnsi="Bookman Old Style" w:cs="Lucida Sans Unicode"/>
          <w:color w:val="222222"/>
          <w:sz w:val="24"/>
          <w:szCs w:val="24"/>
          <w:lang w:eastAsia="ru-RU"/>
        </w:rPr>
        <w:t>о</w:t>
      </w:r>
      <w:proofErr w:type="spellEnd"/>
      <w:r w:rsidRPr="00880881">
        <w:rPr>
          <w:rFonts w:ascii="Bookman Old Style" w:eastAsia="Times New Roman" w:hAnsi="Bookman Old Style" w:cs="Lucida Sans Unicode"/>
          <w:color w:val="222222"/>
          <w:sz w:val="24"/>
          <w:szCs w:val="24"/>
          <w:lang w:eastAsia="ru-RU"/>
        </w:rPr>
        <w:t>-</w:t>
      </w:r>
      <w:proofErr w:type="gramEnd"/>
      <w:r w:rsidRPr="00880881">
        <w:rPr>
          <w:rFonts w:ascii="Bookman Old Style" w:eastAsia="Times New Roman" w:hAnsi="Bookman Old Style" w:cs="Lucida Sans Unicode"/>
          <w:color w:val="222222"/>
          <w:sz w:val="24"/>
          <w:szCs w:val="24"/>
          <w:lang w:eastAsia="ru-RU"/>
        </w:rPr>
        <w:t xml:space="preserve"> и ротоглотки) на наличие 2019-nCoV методом амплификации нуклеиновых кислот перед плановой госпитализацией на </w:t>
      </w:r>
      <w:proofErr w:type="spellStart"/>
      <w:r w:rsidRPr="00880881">
        <w:rPr>
          <w:rFonts w:ascii="Bookman Old Style" w:eastAsia="Times New Roman" w:hAnsi="Bookman Old Style" w:cs="Lucida Sans Unicode"/>
          <w:color w:val="222222"/>
          <w:sz w:val="24"/>
          <w:szCs w:val="24"/>
          <w:lang w:eastAsia="ru-RU"/>
        </w:rPr>
        <w:t>догоспитальном</w:t>
      </w:r>
      <w:proofErr w:type="spellEnd"/>
      <w:r w:rsidRPr="00880881">
        <w:rPr>
          <w:rFonts w:ascii="Bookman Old Style" w:eastAsia="Times New Roman" w:hAnsi="Bookman Old Style" w:cs="Lucida Sans Unicode"/>
          <w:color w:val="222222"/>
          <w:sz w:val="24"/>
          <w:szCs w:val="24"/>
          <w:lang w:eastAsia="ru-RU"/>
        </w:rPr>
        <w:t xml:space="preserve"> этапе (не ранее 7 календарных дней до поступления) и при госпитализации пациентов для оказания специализированной медпомощи (в том числе ВМП) осуществляются за счет средств ОМС.</w:t>
      </w:r>
    </w:p>
    <w:p w:rsidR="00DD0445" w:rsidRDefault="00DD0445" w:rsidP="00DD0445">
      <w:pPr>
        <w:shd w:val="clear" w:color="auto" w:fill="FFFFFF"/>
        <w:spacing w:before="96" w:after="192" w:line="360" w:lineRule="atLeast"/>
        <w:jc w:val="both"/>
        <w:rPr>
          <w:rFonts w:ascii="Bookman Old Style" w:eastAsia="Times New Roman" w:hAnsi="Bookman Old Style" w:cs="Lucida Sans Unicode"/>
          <w:color w:val="222222"/>
          <w:sz w:val="24"/>
          <w:szCs w:val="24"/>
          <w:lang w:eastAsia="ru-RU"/>
        </w:rPr>
      </w:pPr>
      <w:r w:rsidRPr="00880881">
        <w:rPr>
          <w:rFonts w:ascii="Bookman Old Style" w:eastAsia="Times New Roman" w:hAnsi="Bookman Old Style" w:cs="Lucida Sans Unicode"/>
          <w:color w:val="222222"/>
          <w:sz w:val="24"/>
          <w:szCs w:val="24"/>
          <w:lang w:eastAsia="ru-RU"/>
        </w:rPr>
        <w:t>Потому что страховое обеспечение в рамках базовой программы ОМС устанавливается исходя из стандартов медпомощи и порядков оказания медпомощи. А порядком оказания медпомощи в целях профилактики COVID-19</w:t>
      </w:r>
      <w:r>
        <w:rPr>
          <w:rFonts w:ascii="Bookman Old Style" w:eastAsia="Times New Roman" w:hAnsi="Bookman Old Style" w:cs="Lucida Sans Unicode"/>
          <w:color w:val="222222"/>
          <w:sz w:val="24"/>
          <w:szCs w:val="24"/>
          <w:lang w:eastAsia="ru-RU"/>
        </w:rPr>
        <w:t xml:space="preserve"> </w:t>
      </w:r>
      <w:r w:rsidRPr="00880881">
        <w:rPr>
          <w:rFonts w:ascii="Bookman Old Style" w:eastAsia="Times New Roman" w:hAnsi="Bookman Old Style" w:cs="Lucida Sans Unicode"/>
          <w:color w:val="222222"/>
          <w:sz w:val="24"/>
          <w:szCs w:val="24"/>
          <w:lang w:eastAsia="ru-RU"/>
        </w:rPr>
        <w:t>(Приказ</w:t>
      </w:r>
      <w:r>
        <w:rPr>
          <w:rFonts w:ascii="Bookman Old Style" w:eastAsia="Times New Roman" w:hAnsi="Bookman Old Style" w:cs="Lucida Sans Unicode"/>
          <w:color w:val="222222"/>
          <w:sz w:val="24"/>
          <w:szCs w:val="24"/>
          <w:lang w:eastAsia="ru-RU"/>
        </w:rPr>
        <w:t xml:space="preserve"> </w:t>
      </w:r>
      <w:r w:rsidRPr="00880881">
        <w:rPr>
          <w:rFonts w:ascii="Bookman Old Style" w:eastAsia="Times New Roman" w:hAnsi="Bookman Old Style" w:cs="Lucida Sans Unicode"/>
          <w:color w:val="222222"/>
          <w:sz w:val="24"/>
          <w:szCs w:val="24"/>
          <w:lang w:eastAsia="ru-RU"/>
        </w:rPr>
        <w:t>Минздрава № 198н)</w:t>
      </w:r>
      <w:r>
        <w:rPr>
          <w:rFonts w:ascii="Bookman Old Style" w:eastAsia="Times New Roman" w:hAnsi="Bookman Old Style" w:cs="Lucida Sans Unicode"/>
          <w:color w:val="222222"/>
          <w:sz w:val="24"/>
          <w:szCs w:val="24"/>
          <w:lang w:eastAsia="ru-RU"/>
        </w:rPr>
        <w:t xml:space="preserve"> </w:t>
      </w:r>
      <w:r w:rsidRPr="00880881">
        <w:rPr>
          <w:rFonts w:ascii="Bookman Old Style" w:eastAsia="Times New Roman" w:hAnsi="Bookman Old Style" w:cs="Lucida Sans Unicode"/>
          <w:color w:val="222222"/>
          <w:sz w:val="24"/>
          <w:szCs w:val="24"/>
          <w:lang w:eastAsia="ru-RU"/>
        </w:rPr>
        <w:t>как раз  </w:t>
      </w:r>
      <w:hyperlink r:id="rId9" w:tgtFrame="_blank" w:history="1">
        <w:r w:rsidRPr="00880881">
          <w:rPr>
            <w:rFonts w:ascii="Bookman Old Style" w:eastAsia="Times New Roman" w:hAnsi="Bookman Old Style" w:cs="Lucida Sans Unicode"/>
            <w:color w:val="204669"/>
            <w:sz w:val="24"/>
            <w:szCs w:val="24"/>
            <w:lang w:eastAsia="ru-RU"/>
          </w:rPr>
          <w:t>установлена</w:t>
        </w:r>
      </w:hyperlink>
      <w:r w:rsidRPr="00880881">
        <w:rPr>
          <w:rFonts w:ascii="Bookman Old Style" w:eastAsia="Times New Roman" w:hAnsi="Bookman Old Style" w:cs="Lucida Sans Unicode"/>
          <w:color w:val="222222"/>
          <w:sz w:val="24"/>
          <w:szCs w:val="24"/>
          <w:lang w:eastAsia="ru-RU"/>
        </w:rPr>
        <w:t xml:space="preserve"> необходимость исследования биологического материала пациента (мазок из </w:t>
      </w:r>
      <w:proofErr w:type="spellStart"/>
      <w:r w:rsidRPr="00880881">
        <w:rPr>
          <w:rFonts w:ascii="Bookman Old Style" w:eastAsia="Times New Roman" w:hAnsi="Bookman Old Style" w:cs="Lucida Sans Unicode"/>
          <w:color w:val="222222"/>
          <w:sz w:val="24"/>
          <w:szCs w:val="24"/>
          <w:lang w:eastAsia="ru-RU"/>
        </w:rPr>
        <w:t>нос</w:t>
      </w:r>
      <w:proofErr w:type="gramStart"/>
      <w:r w:rsidRPr="00880881">
        <w:rPr>
          <w:rFonts w:ascii="Bookman Old Style" w:eastAsia="Times New Roman" w:hAnsi="Bookman Old Style" w:cs="Lucida Sans Unicode"/>
          <w:color w:val="222222"/>
          <w:sz w:val="24"/>
          <w:szCs w:val="24"/>
          <w:lang w:eastAsia="ru-RU"/>
        </w:rPr>
        <w:t>о</w:t>
      </w:r>
      <w:proofErr w:type="spellEnd"/>
      <w:r w:rsidRPr="00880881">
        <w:rPr>
          <w:rFonts w:ascii="Bookman Old Style" w:eastAsia="Times New Roman" w:hAnsi="Bookman Old Style" w:cs="Lucida Sans Unicode"/>
          <w:color w:val="222222"/>
          <w:sz w:val="24"/>
          <w:szCs w:val="24"/>
          <w:lang w:eastAsia="ru-RU"/>
        </w:rPr>
        <w:t>-</w:t>
      </w:r>
      <w:proofErr w:type="gramEnd"/>
      <w:r w:rsidRPr="00880881">
        <w:rPr>
          <w:rFonts w:ascii="Bookman Old Style" w:eastAsia="Times New Roman" w:hAnsi="Bookman Old Style" w:cs="Lucida Sans Unicode"/>
          <w:color w:val="222222"/>
          <w:sz w:val="24"/>
          <w:szCs w:val="24"/>
          <w:lang w:eastAsia="ru-RU"/>
        </w:rPr>
        <w:t xml:space="preserve"> и ротоглотки) на наличие КОВИД-19 методом ПЦР перед плановой госпитализацией.</w:t>
      </w:r>
    </w:p>
    <w:sectPr w:rsidR="00DD0445" w:rsidSect="00DD044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06"/>
    <w:rsid w:val="00416406"/>
    <w:rsid w:val="00886404"/>
    <w:rsid w:val="00D7737D"/>
    <w:rsid w:val="00DD0445"/>
    <w:rsid w:val="00E5623E"/>
    <w:rsid w:val="00F4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428851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213947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8565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7213947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3769697/8599a70d26e5983585d90ff6adf82e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Кольцюк Вера Викторовна</dc:creator>
  <cp:lastModifiedBy>Кольцюк Вера Викторовна</cp:lastModifiedBy>
  <cp:revision>2</cp:revision>
  <dcterms:created xsi:type="dcterms:W3CDTF">2020-07-14T23:25:00Z</dcterms:created>
  <dcterms:modified xsi:type="dcterms:W3CDTF">2020-07-14T23:25:00Z</dcterms:modified>
</cp:coreProperties>
</file>