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реализации мероприятий ведомственного плана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профилактике и противодействию коррупции в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Департаменте образования и науки Чукотского автономного округа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(наименование органа власти)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 2 квартале 2025 года</w:t>
      </w:r>
    </w:p>
    <w:tbl>
      <w:tblPr>
        <w:tblW w:w="146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715"/>
        <w:gridCol w:w="56"/>
        <w:gridCol w:w="7655"/>
        <w:gridCol w:w="53"/>
        <w:gridCol w:w="2073"/>
        <w:gridCol w:w="4112"/>
      </w:tblGrid>
      <w:tr>
        <w:trPr>
          <w:trHeight w:val="166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Сроки исполнения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Сведения об исполнении</w:t>
            </w:r>
          </w:p>
        </w:tc>
      </w:tr>
      <w:tr>
        <w:trPr>
          <w:trHeight w:val="177" w:hRule="atLeast"/>
        </w:trPr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160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>
        <w:trPr>
          <w:trHeight w:val="12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14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15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1.1.1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14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1.1.3.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14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ходе реализации мероприятий ведомственного плана по противодействию коррупции рассмотрена на заседании Общественного совета при Департаменте 19 мая 2025 года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https://чукотка.рф/depobr/documents/obshchestvennyy-sovet-pri-departamente-obrazovaniya/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1185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15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Информация о ходе реализации мероприятий ведомственного плана по противодействию коррупции рассмотрена на заседании комиссии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 30 июня 2025 года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https://чукотка.рф/depobr/protivodeystvie-korruptsii/komissiya-po-soblyudeniyu-treb/svedeniya-o-planiruemom-provedenii-zasedaniya-komissii.php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1185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1.1.4</w:t>
            </w:r>
          </w:p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размещение отчета о реализации мероприятий </w:t>
            </w:r>
            <w:r>
              <w:rPr>
                <w:rFonts w:eastAsia="Calibri" w:cs="Times New Roman" w:ascii="Times New Roman" w:hAnsi="Times New Roman"/>
                <w:bCs/>
                <w:iCs/>
                <w:sz w:val="24"/>
                <w:szCs w:val="24"/>
              </w:rPr>
              <w:t xml:space="preserve">ведомственного плана на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официальном сайте Чукотского автономного округа в информационно-телекоммуникационной сети «Интернет»: чукотка.рф в разделе «Департамент образования и науки Чукотского автономного округа»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02.07.2025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https://чукотка.рф/depobr/protivodeystvie-korruptsii/doklady-otchety-obzory-statisticheskaya-informatsiya.php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1185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>
        <w:trPr/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2.1.1.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доведение до лиц, впервые поступивших на государственную службу,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нарушение и (или) неисполнение;</w:t>
            </w:r>
          </w:p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2 квартал 2025 года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 втором квартале 2025 года проведен анализ личных дел в отношении трех государственных гражданских служащих, принятых на государственную гражданскую службу в Департамент.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целях проведения анализа личных дел, вновь принятых государственных гражданских служащих Департамента образования и науки Чукотского автономного округа на предмет выявления конфликта интересов, было проведено изучение данных о прошлых местах работы, данных о родственниках, местах их работы, анализ сведений о доходах, расходах, об имуществе и обязательствах имущественного характера.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анализе личных дел конфликт интересов не выявлен.</w:t>
            </w:r>
          </w:p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2.2.4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4"/>
                <w:sz w:val="24"/>
                <w:szCs w:val="24"/>
              </w:rPr>
              <w:t>организация работы по уведомлению государственными служащими представителя нанимателя о намерении выполнять иную оплачиваемую работу;</w:t>
            </w:r>
          </w:p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2 квартал 2025 года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4"/>
                <w:sz w:val="24"/>
                <w:szCs w:val="24"/>
              </w:rPr>
              <w:t xml:space="preserve">Во 2 квартале 2025 года поступило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 уведомлений от 11 государственных служащих. Рассмотрение уведомлений о намерении выполнять иную оплачиваемую работу на заседании Комиссии по соблюдению требований к служебному поведению в отношении 11 государственных гражданских служащих Департамента не требовалось.</w:t>
            </w:r>
          </w:p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</w:rPr>
              <w:t>Контроль соблюдения гражданами, замещавшими должности государственной службы, ограничений, при заключении ими трудового или гражданско-правового договора, в случаях, предусмотренных федеральным законодательством;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2 квартал 2025 года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основании поступившего уведомления проректора по стратегическому развитию Федерального государственного бюджетного образовательного учреждения высшего образования Министерства сельского хозяйства Российской Федерации «Российский государственный университет народного хозяйства имени В.И. Вернадского» о заключении с Дашко Валерием Александровичем, бывшим государственным гражданским служащим Департамента, трудового договора, было вынесено Мотивированное заключение о том, что оснований для рассмотрения данного уведомления на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интересов, не требуется. В адрес проректора по стратегическому развитию Федерального государственного бюджетного образовательного учреждения высшего образования Министерства сельского хозяйства Российской Федерации «Российский государственный университет народного хозяйства имени В.И. Вернадского» 3 июня 2025 года (исх. № 03-2/3171) было направлено соответствующее письмо.</w:t>
            </w:r>
          </w:p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3. Совершенствование нормативной правовой базы Чукотского автономного округа</w:t>
            </w:r>
          </w:p>
        </w:tc>
      </w:tr>
      <w:tr>
        <w:trPr>
          <w:trHeight w:val="271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14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2" w:hRule="atLeast"/>
        </w:trPr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4. 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Противодействие коррупции в основных коррупционноопасных сферах деятельности</w:t>
            </w:r>
          </w:p>
        </w:tc>
      </w:tr>
      <w:tr>
        <w:trPr>
          <w:trHeight w:val="273" w:hRule="atLeast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4.1.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4"/>
                <w:sz w:val="24"/>
                <w:szCs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</w:r>
          </w:p>
        </w:tc>
      </w:tr>
      <w:tr>
        <w:trPr>
          <w:trHeight w:val="273" w:hRule="atLeast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4.2.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4"/>
                <w:sz w:val="24"/>
                <w:szCs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3" w:hRule="atLeast"/>
        </w:trPr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5. Межведомственное и межуровневое взаимодействие в сфере профилактики и противодействия коррупции</w:t>
            </w:r>
          </w:p>
        </w:tc>
      </w:tr>
      <w:tr>
        <w:trPr>
          <w:trHeight w:val="13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5.8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right="14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5.9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14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/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6. Антикоррупционное просвещение,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взаимодействие с населением и структурами гражданского общества</w:t>
            </w:r>
          </w:p>
        </w:tc>
      </w:tr>
      <w:tr>
        <w:trPr>
          <w:trHeight w:val="13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6.2.1.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Состоялось заседание Общественного совета при Департаменте, на котором был рассмотрен вопрос: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 исполнении мероприятий, направленных на профилактику </w:t>
              <w:br/>
              <w:t xml:space="preserve">и противодействие коррупции в Департаменте образования и науки Чукотского автономного округа и образовательных организациях Чукотского автономного округа находящиеся в ведомственном подчинении Департамента в 1 полугодии </w:t>
              <w:br/>
              <w:t>2025 года.</w:t>
            </w:r>
          </w:p>
          <w:p>
            <w:pPr>
              <w:pStyle w:val="NoSpacing"/>
              <w:widowControl w:val="fals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 года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https://чукотка.рф/depobr/documents/obshchestvennyy-sovet-pri-departamente-obrazovaniya/</w:t>
              </w:r>
            </w:hyperlink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95" w:leader="none"/>
              </w:tabs>
              <w:spacing w:before="0" w:after="1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2a6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e1593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11267d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244a7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44a7e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uiPriority w:val="9"/>
    <w:qFormat/>
    <w:rsid w:val="00e1593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4" w:customStyle="1">
    <w:name w:val="Оглавление 4 Знак"/>
    <w:uiPriority w:val="39"/>
    <w:qFormat/>
    <w:rsid w:val="000b32ac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9" w:customStyle="1">
    <w:name w:val="Без интервала Знак"/>
    <w:link w:val="NoSpacing"/>
    <w:uiPriority w:val="1"/>
    <w:qFormat/>
    <w:rsid w:val="00d2700e"/>
    <w:rPr/>
  </w:style>
  <w:style w:type="character" w:styleId="Style10">
    <w:name w:val="FollowedHyperlink"/>
    <w:rPr>
      <w:color w:val="800000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80477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1126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link w:val="Style9"/>
    <w:uiPriority w:val="1"/>
    <w:qFormat/>
    <w:rsid w:val="007e026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1">
    <w:name w:val="TOC 4"/>
    <w:next w:val="Normal"/>
    <w:link w:val="4"/>
    <w:uiPriority w:val="39"/>
    <w:rsid w:val="000b32ac"/>
    <w:pPr>
      <w:widowControl/>
      <w:bidi w:val="0"/>
      <w:spacing w:lineRule="auto" w:line="240"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5;&#1091;&#1082;&#1086;&#1090;&#1082;&#1072;.&#1088;&#1092;/depobr/documents/obshchestvennyy-sovet-pri-departamente-obrazovaniya/" TargetMode="External"/><Relationship Id="rId3" Type="http://schemas.openxmlformats.org/officeDocument/2006/relationships/hyperlink" Target="https://&#1095;&#1091;&#1082;&#1086;&#1090;&#1082;&#1072;.&#1088;&#1092;/depobr/protivodeystvie-korruptsii/komissiya-po-soblyudeniyu-treb/svedeniya-o-planiruemom-provedenii-zasedaniya-komissii.php" TargetMode="External"/><Relationship Id="rId4" Type="http://schemas.openxmlformats.org/officeDocument/2006/relationships/hyperlink" Target="https://&#1095;&#1091;&#1082;&#1086;&#1090;&#1082;&#1072;.&#1088;&#1092;/depobr/protivodeystvie-korruptsii/doklady-otchety-obzory-statisticheskaya-informatsiya.php" TargetMode="External"/><Relationship Id="rId5" Type="http://schemas.openxmlformats.org/officeDocument/2006/relationships/hyperlink" Target="https://&#1095;&#1091;&#1082;&#1086;&#1090;&#1082;&#1072;.&#1088;&#1092;/depobr/documents/obshchestvennyy-sovet-pri-departamente-obrazovaniya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LibreOffice/7.5.0.3$Windows_X86_64 LibreOffice_project/c21113d003cd3efa8c53188764377a8272d9d6de</Application>
  <AppVersion>15.0000</AppVersion>
  <Pages>4</Pages>
  <Words>558</Words>
  <Characters>4784</Characters>
  <CharactersWithSpaces>5292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2023-12-25T10:31:00Z</dcterms:created>
  <dc:creator>Шивалина Альбина Александровна</dc:creator>
  <dc:description/>
  <dc:language>ru-RU</dc:language>
  <cp:lastModifiedBy/>
  <cp:lastPrinted>2023-12-25T21:58:00Z</cp:lastPrinted>
  <dcterms:modified xsi:type="dcterms:W3CDTF">2025-07-03T11:02:53Z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