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8927A9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 декабря 2024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8927A9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1039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7D7E34" w:rsidRPr="007D7E34" w:rsidTr="00B82403">
        <w:tc>
          <w:tcPr>
            <w:tcW w:w="4856" w:type="dxa"/>
          </w:tcPr>
          <w:p w:rsidR="007D7E34" w:rsidRPr="007D7E34" w:rsidRDefault="007D7E34" w:rsidP="0041196B">
            <w:pPr>
              <w:jc w:val="both"/>
              <w:outlineLvl w:val="2"/>
              <w:rPr>
                <w:sz w:val="26"/>
                <w:szCs w:val="26"/>
              </w:rPr>
            </w:pPr>
            <w:bookmarkStart w:id="1" w:name="sub_1"/>
            <w:r w:rsidRPr="007D7E34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Pr="007D7E34">
              <w:rPr>
                <w:sz w:val="26"/>
                <w:szCs w:val="26"/>
              </w:rPr>
              <w:t>карты рисков нарушения антимонопольного законодательства Департамента здравоохранения Чукотского автономного округа</w:t>
            </w:r>
            <w:proofErr w:type="gramEnd"/>
            <w:r w:rsidRPr="007D7E34">
              <w:rPr>
                <w:sz w:val="26"/>
                <w:szCs w:val="26"/>
              </w:rPr>
              <w:t xml:space="preserve"> на 202</w:t>
            </w:r>
            <w:r w:rsidR="0041196B">
              <w:rPr>
                <w:sz w:val="26"/>
                <w:szCs w:val="26"/>
              </w:rPr>
              <w:t>4</w:t>
            </w:r>
            <w:r w:rsidRPr="007D7E3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856" w:type="dxa"/>
          </w:tcPr>
          <w:p w:rsidR="007D7E34" w:rsidRPr="007D7E34" w:rsidRDefault="007D7E34" w:rsidP="007D7E34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7D7E34" w:rsidRPr="007D7E34" w:rsidRDefault="007D7E34" w:rsidP="007D7E34">
      <w:pPr>
        <w:jc w:val="both"/>
        <w:outlineLvl w:val="2"/>
        <w:rPr>
          <w:sz w:val="28"/>
          <w:szCs w:val="28"/>
        </w:rPr>
      </w:pPr>
    </w:p>
    <w:p w:rsidR="007D7E34" w:rsidRPr="007D7E34" w:rsidRDefault="007D7E34" w:rsidP="007D7E34">
      <w:pPr>
        <w:jc w:val="both"/>
        <w:rPr>
          <w:sz w:val="28"/>
          <w:szCs w:val="28"/>
        </w:rPr>
      </w:pPr>
    </w:p>
    <w:p w:rsidR="007D7E34" w:rsidRPr="007D7E34" w:rsidRDefault="007D7E34" w:rsidP="007D7E34">
      <w:pPr>
        <w:tabs>
          <w:tab w:val="left" w:pos="1134"/>
        </w:tabs>
        <w:ind w:firstLine="567"/>
        <w:jc w:val="both"/>
        <w:rPr>
          <w:sz w:val="26"/>
          <w:szCs w:val="26"/>
        </w:rPr>
      </w:pPr>
      <w:proofErr w:type="gramStart"/>
      <w:r w:rsidRPr="007D7E34">
        <w:rPr>
          <w:sz w:val="26"/>
          <w:szCs w:val="26"/>
        </w:rPr>
        <w:t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 октября 2018 года № 2258-р и приказом Департамента здравоохранения  Чукотского автономного округа от 17 февраля 2022 года № 88 «О системе внутреннего обеспечения соответствия требованиям антимонопольного законодательства в Департаменте социальной политики Чукотского</w:t>
      </w:r>
      <w:proofErr w:type="gramEnd"/>
      <w:r w:rsidRPr="007D7E34">
        <w:rPr>
          <w:sz w:val="26"/>
          <w:szCs w:val="26"/>
        </w:rPr>
        <w:t xml:space="preserve"> автономного округа»,</w:t>
      </w:r>
    </w:p>
    <w:p w:rsidR="007D7E34" w:rsidRPr="007D7E34" w:rsidRDefault="007D7E34" w:rsidP="007D7E34">
      <w:pPr>
        <w:jc w:val="both"/>
        <w:rPr>
          <w:sz w:val="28"/>
          <w:szCs w:val="28"/>
        </w:rPr>
      </w:pPr>
    </w:p>
    <w:p w:rsidR="007D7E34" w:rsidRPr="007D7E34" w:rsidRDefault="007D7E34" w:rsidP="007D7E34">
      <w:pPr>
        <w:ind w:firstLine="851"/>
        <w:jc w:val="both"/>
        <w:outlineLvl w:val="2"/>
        <w:rPr>
          <w:b/>
          <w:sz w:val="28"/>
          <w:szCs w:val="28"/>
        </w:rPr>
      </w:pPr>
      <w:r w:rsidRPr="007D7E34">
        <w:rPr>
          <w:b/>
          <w:sz w:val="28"/>
          <w:szCs w:val="28"/>
        </w:rPr>
        <w:t>ПРИКАЗЫВАЮ:</w:t>
      </w:r>
    </w:p>
    <w:p w:rsidR="007D7E34" w:rsidRPr="007D7E34" w:rsidRDefault="007D7E34" w:rsidP="007D7E34">
      <w:pPr>
        <w:jc w:val="both"/>
        <w:rPr>
          <w:sz w:val="28"/>
          <w:szCs w:val="28"/>
        </w:rPr>
      </w:pPr>
    </w:p>
    <w:p w:rsidR="007D7E34" w:rsidRPr="007D7E34" w:rsidRDefault="007D7E34" w:rsidP="007D7E34">
      <w:pPr>
        <w:jc w:val="both"/>
        <w:rPr>
          <w:sz w:val="28"/>
          <w:szCs w:val="28"/>
        </w:rPr>
      </w:pPr>
    </w:p>
    <w:p w:rsidR="007D7E34" w:rsidRPr="007D7E34" w:rsidRDefault="007D7E34" w:rsidP="007D7E34">
      <w:pPr>
        <w:tabs>
          <w:tab w:val="left" w:pos="993"/>
        </w:tabs>
        <w:ind w:firstLine="851"/>
        <w:jc w:val="both"/>
        <w:rPr>
          <w:sz w:val="26"/>
          <w:szCs w:val="26"/>
        </w:rPr>
      </w:pPr>
      <w:r w:rsidRPr="007D7E34">
        <w:rPr>
          <w:sz w:val="26"/>
          <w:szCs w:val="26"/>
        </w:rPr>
        <w:t>1.</w:t>
      </w:r>
      <w:r w:rsidRPr="007D7E34">
        <w:rPr>
          <w:sz w:val="26"/>
          <w:szCs w:val="26"/>
        </w:rPr>
        <w:tab/>
        <w:t xml:space="preserve">Утвердить карту </w:t>
      </w:r>
      <w:proofErr w:type="gramStart"/>
      <w:r w:rsidRPr="007D7E34">
        <w:rPr>
          <w:sz w:val="26"/>
          <w:szCs w:val="26"/>
        </w:rPr>
        <w:t>рисков нарушения антимонопольного законодательства Департамента здравоохранения  Чукотского автономного округа</w:t>
      </w:r>
      <w:proofErr w:type="gramEnd"/>
      <w:r w:rsidRPr="007D7E34">
        <w:rPr>
          <w:sz w:val="26"/>
          <w:szCs w:val="26"/>
        </w:rPr>
        <w:t xml:space="preserve"> согласно приложению к настоящему приказу.</w:t>
      </w:r>
    </w:p>
    <w:p w:rsidR="007D7E34" w:rsidRPr="007D7E34" w:rsidRDefault="007D7E34" w:rsidP="007D7E34">
      <w:pPr>
        <w:tabs>
          <w:tab w:val="left" w:pos="851"/>
          <w:tab w:val="left" w:pos="993"/>
          <w:tab w:val="left" w:pos="1276"/>
          <w:tab w:val="left" w:pos="1560"/>
        </w:tabs>
        <w:ind w:firstLine="851"/>
        <w:jc w:val="both"/>
        <w:rPr>
          <w:sz w:val="26"/>
          <w:szCs w:val="26"/>
        </w:rPr>
      </w:pPr>
      <w:r w:rsidRPr="007D7E34">
        <w:rPr>
          <w:sz w:val="26"/>
          <w:szCs w:val="26"/>
        </w:rPr>
        <w:t>2. Отделу административной правовой и кадровой работы Департамента здравоохранения Чукотского автономного округа</w:t>
      </w:r>
      <w:r>
        <w:rPr>
          <w:sz w:val="26"/>
          <w:szCs w:val="26"/>
        </w:rPr>
        <w:t xml:space="preserve"> (</w:t>
      </w:r>
      <w:proofErr w:type="spellStart"/>
      <w:r w:rsidR="0041196B">
        <w:rPr>
          <w:sz w:val="26"/>
          <w:szCs w:val="26"/>
        </w:rPr>
        <w:t>Хамерзаева</w:t>
      </w:r>
      <w:proofErr w:type="spellEnd"/>
      <w:r w:rsidR="0041196B">
        <w:rPr>
          <w:sz w:val="26"/>
          <w:szCs w:val="26"/>
        </w:rPr>
        <w:t xml:space="preserve"> А.С.</w:t>
      </w:r>
      <w:r>
        <w:rPr>
          <w:sz w:val="26"/>
          <w:szCs w:val="26"/>
        </w:rPr>
        <w:t>)</w:t>
      </w:r>
      <w:r w:rsidRPr="007D7E34">
        <w:rPr>
          <w:sz w:val="26"/>
          <w:szCs w:val="26"/>
        </w:rPr>
        <w:t xml:space="preserve"> обеспечить ознакомление начальников структурных подразделений Департамента с настоящим приказом.</w:t>
      </w:r>
    </w:p>
    <w:p w:rsidR="007D7E34" w:rsidRPr="007D7E34" w:rsidRDefault="007D7E34" w:rsidP="007D7E34">
      <w:pPr>
        <w:ind w:firstLine="851"/>
        <w:jc w:val="both"/>
        <w:rPr>
          <w:sz w:val="26"/>
          <w:szCs w:val="26"/>
        </w:rPr>
      </w:pPr>
      <w:r w:rsidRPr="007D7E34">
        <w:rPr>
          <w:sz w:val="26"/>
          <w:szCs w:val="26"/>
        </w:rPr>
        <w:t xml:space="preserve">3.  </w:t>
      </w:r>
      <w:proofErr w:type="gramStart"/>
      <w:r w:rsidRPr="007D7E34">
        <w:rPr>
          <w:sz w:val="26"/>
          <w:szCs w:val="26"/>
        </w:rPr>
        <w:t>Контроль за</w:t>
      </w:r>
      <w:proofErr w:type="gramEnd"/>
      <w:r w:rsidRPr="007D7E34">
        <w:rPr>
          <w:sz w:val="26"/>
          <w:szCs w:val="26"/>
        </w:rPr>
        <w:t xml:space="preserve"> исполнением настоящего приказа оставляю за собой.</w:t>
      </w:r>
    </w:p>
    <w:p w:rsidR="007D7E34" w:rsidRPr="007D7E34" w:rsidRDefault="007D7E34" w:rsidP="007D7E34">
      <w:pPr>
        <w:ind w:firstLine="851"/>
        <w:jc w:val="both"/>
        <w:rPr>
          <w:sz w:val="26"/>
          <w:szCs w:val="26"/>
        </w:rPr>
      </w:pPr>
    </w:p>
    <w:p w:rsidR="007D7E34" w:rsidRPr="007D7E34" w:rsidRDefault="007D7E34" w:rsidP="007D7E34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7D7E34" w:rsidRDefault="007D7E34" w:rsidP="00686551"/>
    <w:p w:rsidR="007D7E34" w:rsidRDefault="007D7E34" w:rsidP="00686551">
      <w:pPr>
        <w:sectPr w:rsidR="007D7E34" w:rsidSect="00C10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tbl>
      <w:tblPr>
        <w:tblStyle w:val="21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97"/>
        <w:gridCol w:w="5088"/>
      </w:tblGrid>
      <w:tr w:rsidR="007D7E34" w:rsidRPr="007D7E34" w:rsidTr="00B82403">
        <w:tc>
          <w:tcPr>
            <w:tcW w:w="5117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197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08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УТВЕРЖДЕНО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Приказом Департамента здравоохранения Чукотского автономного округа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от «</w:t>
            </w:r>
            <w:r>
              <w:rPr>
                <w:rFonts w:eastAsiaTheme="minorHAnsi"/>
                <w:sz w:val="26"/>
                <w:szCs w:val="26"/>
              </w:rPr>
              <w:t>__</w:t>
            </w:r>
            <w:r w:rsidRPr="007D7E34">
              <w:rPr>
                <w:rFonts w:eastAsiaTheme="minorHAnsi"/>
                <w:sz w:val="26"/>
                <w:szCs w:val="26"/>
              </w:rPr>
              <w:t xml:space="preserve">» </w:t>
            </w:r>
            <w:r>
              <w:rPr>
                <w:rFonts w:eastAsiaTheme="minorHAnsi"/>
                <w:sz w:val="26"/>
                <w:szCs w:val="26"/>
              </w:rPr>
              <w:t>_______202</w:t>
            </w:r>
            <w:r w:rsidR="0041196B">
              <w:rPr>
                <w:rFonts w:eastAsiaTheme="minorHAnsi"/>
                <w:sz w:val="26"/>
                <w:szCs w:val="26"/>
              </w:rPr>
              <w:t>4</w:t>
            </w:r>
            <w:r w:rsidRPr="007D7E34">
              <w:rPr>
                <w:rFonts w:eastAsiaTheme="minorHAnsi"/>
                <w:sz w:val="26"/>
                <w:szCs w:val="26"/>
              </w:rPr>
              <w:t xml:space="preserve">г. № </w:t>
            </w:r>
            <w:r>
              <w:rPr>
                <w:rFonts w:eastAsiaTheme="minorHAnsi"/>
                <w:sz w:val="26"/>
                <w:szCs w:val="26"/>
              </w:rPr>
              <w:t>____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</w:tc>
      </w:tr>
    </w:tbl>
    <w:p w:rsidR="007D7E34" w:rsidRPr="007D7E34" w:rsidRDefault="007D7E34" w:rsidP="007D7E34">
      <w:pPr>
        <w:outlineLvl w:val="2"/>
        <w:rPr>
          <w:sz w:val="26"/>
          <w:szCs w:val="26"/>
        </w:rPr>
      </w:pPr>
    </w:p>
    <w:p w:rsidR="007D7E34" w:rsidRPr="007D7E34" w:rsidRDefault="007D7E34" w:rsidP="007D7E34">
      <w:pPr>
        <w:jc w:val="center"/>
        <w:outlineLvl w:val="2"/>
        <w:rPr>
          <w:b/>
          <w:bCs/>
          <w:sz w:val="26"/>
          <w:szCs w:val="26"/>
        </w:rPr>
      </w:pPr>
      <w:bookmarkStart w:id="2" w:name="P32"/>
      <w:bookmarkEnd w:id="2"/>
      <w:r w:rsidRPr="007D7E34">
        <w:rPr>
          <w:b/>
          <w:bCs/>
          <w:sz w:val="26"/>
          <w:szCs w:val="26"/>
        </w:rPr>
        <w:t>Карта рисков нарушения антимонопольного законодательства</w:t>
      </w:r>
    </w:p>
    <w:p w:rsidR="007D7E34" w:rsidRPr="007D7E34" w:rsidRDefault="007D7E34" w:rsidP="007D7E34">
      <w:pPr>
        <w:jc w:val="center"/>
        <w:outlineLvl w:val="2"/>
        <w:rPr>
          <w:b/>
          <w:bCs/>
          <w:sz w:val="26"/>
          <w:szCs w:val="26"/>
        </w:rPr>
      </w:pPr>
      <w:r w:rsidRPr="007D7E34">
        <w:rPr>
          <w:b/>
          <w:bCs/>
          <w:sz w:val="26"/>
          <w:szCs w:val="26"/>
        </w:rPr>
        <w:t>Департамента здравоохранения  Чукотского автономного округа на 202</w:t>
      </w:r>
      <w:r w:rsidR="0041196B">
        <w:rPr>
          <w:b/>
          <w:bCs/>
          <w:sz w:val="26"/>
          <w:szCs w:val="26"/>
        </w:rPr>
        <w:t>4</w:t>
      </w:r>
      <w:r w:rsidRPr="007D7E34">
        <w:rPr>
          <w:b/>
          <w:bCs/>
          <w:sz w:val="26"/>
          <w:szCs w:val="26"/>
        </w:rPr>
        <w:t xml:space="preserve"> год</w:t>
      </w:r>
    </w:p>
    <w:p w:rsidR="007D7E34" w:rsidRPr="007D7E34" w:rsidRDefault="007D7E34" w:rsidP="007D7E34">
      <w:pPr>
        <w:outlineLvl w:val="2"/>
        <w:rPr>
          <w:sz w:val="26"/>
          <w:szCs w:val="26"/>
        </w:rPr>
      </w:pPr>
    </w:p>
    <w:tbl>
      <w:tblPr>
        <w:tblStyle w:val="21"/>
        <w:tblW w:w="14892" w:type="dxa"/>
        <w:tblLayout w:type="fixed"/>
        <w:tblLook w:val="04A0" w:firstRow="1" w:lastRow="0" w:firstColumn="1" w:lastColumn="0" w:noHBand="0" w:noVBand="1"/>
      </w:tblPr>
      <w:tblGrid>
        <w:gridCol w:w="484"/>
        <w:gridCol w:w="2578"/>
        <w:gridCol w:w="2408"/>
        <w:gridCol w:w="2728"/>
        <w:gridCol w:w="4526"/>
        <w:gridCol w:w="2168"/>
      </w:tblGrid>
      <w:tr w:rsidR="007D7E34" w:rsidRPr="007D7E34" w:rsidTr="00B82403">
        <w:tc>
          <w:tcPr>
            <w:tcW w:w="484" w:type="dxa"/>
            <w:vAlign w:val="center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2578" w:type="dxa"/>
            <w:vAlign w:val="center"/>
          </w:tcPr>
          <w:p w:rsidR="007D7E34" w:rsidRPr="007D7E34" w:rsidRDefault="007D7E34" w:rsidP="007D7E34">
            <w:pPr>
              <w:jc w:val="center"/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Наименование полномочия (действия, административная процедура), реализация которого связана с рисками</w:t>
            </w:r>
          </w:p>
        </w:tc>
        <w:tc>
          <w:tcPr>
            <w:tcW w:w="2408" w:type="dxa"/>
            <w:vAlign w:val="center"/>
          </w:tcPr>
          <w:p w:rsidR="007D7E34" w:rsidRPr="007D7E34" w:rsidRDefault="007D7E34" w:rsidP="007D7E34">
            <w:pPr>
              <w:jc w:val="center"/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Наименование структурных подразделений, при реализации полномочий которых возможно возникновение рисков</w:t>
            </w:r>
          </w:p>
        </w:tc>
        <w:tc>
          <w:tcPr>
            <w:tcW w:w="2728" w:type="dxa"/>
            <w:vAlign w:val="center"/>
          </w:tcPr>
          <w:p w:rsidR="007D7E34" w:rsidRPr="007D7E34" w:rsidRDefault="007D7E34" w:rsidP="007D7E34">
            <w:pPr>
              <w:jc w:val="center"/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Риск (краткое описание)</w:t>
            </w:r>
          </w:p>
        </w:tc>
        <w:tc>
          <w:tcPr>
            <w:tcW w:w="4526" w:type="dxa"/>
            <w:vAlign w:val="center"/>
          </w:tcPr>
          <w:p w:rsidR="007D7E34" w:rsidRPr="007D7E34" w:rsidRDefault="007D7E34" w:rsidP="007D7E34">
            <w:pPr>
              <w:jc w:val="center"/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Причины (условия) возникновения риска</w:t>
            </w:r>
          </w:p>
        </w:tc>
        <w:tc>
          <w:tcPr>
            <w:tcW w:w="2168" w:type="dxa"/>
            <w:vAlign w:val="center"/>
          </w:tcPr>
          <w:p w:rsidR="007D7E34" w:rsidRPr="007D7E34" w:rsidRDefault="007D7E34" w:rsidP="007D7E34">
            <w:pPr>
              <w:jc w:val="center"/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Уровень риска</w:t>
            </w:r>
          </w:p>
        </w:tc>
      </w:tr>
      <w:tr w:rsidR="007D7E34" w:rsidRPr="007D7E34" w:rsidTr="00B82403">
        <w:tc>
          <w:tcPr>
            <w:tcW w:w="484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257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Организация и проведение закупок товаров, работ, услуг для государственных нужд</w:t>
            </w:r>
          </w:p>
        </w:tc>
        <w:tc>
          <w:tcPr>
            <w:tcW w:w="240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Отдел организации государственных закупок</w:t>
            </w:r>
          </w:p>
        </w:tc>
        <w:tc>
          <w:tcPr>
            <w:tcW w:w="272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- координация деятельности участников закупки;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- 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приводят или </w:t>
            </w:r>
            <w:r w:rsidRPr="007D7E34">
              <w:rPr>
                <w:rFonts w:eastAsiaTheme="minorHAnsi"/>
                <w:sz w:val="26"/>
                <w:szCs w:val="26"/>
              </w:rPr>
              <w:lastRenderedPageBreak/>
              <w:t>могут привести к ограничению конкуренции и (или) созданию преимущественных условий для каких-либо участников;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- создание участнику закупки или нескольким участникам закупки преимущественных условий участия в закупке, в том числе путем доступа к информации;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- нарушение порядка определения победителя закупки;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- нарушение порядка определения начальной (максимальной) цены государственного контракта</w:t>
            </w:r>
          </w:p>
        </w:tc>
        <w:tc>
          <w:tcPr>
            <w:tcW w:w="4526" w:type="dxa"/>
          </w:tcPr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несоблюдение принципов открытости, прозрачности информации о контрактной системе в сфере закупок, обеспечения конкуренции, профессионализма заказчика;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высокая нагрузка на сотрудников;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отсутствие достаточной квалификации сотрудников;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поручение вышестоящего руководства;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непринятие мер по исключению конфликта интересов;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- предоставление недостоверных сведений для определения начальной (максимальной) цены контракта</w:t>
            </w:r>
          </w:p>
        </w:tc>
        <w:tc>
          <w:tcPr>
            <w:tcW w:w="216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высокий</w:t>
            </w:r>
          </w:p>
        </w:tc>
      </w:tr>
      <w:tr w:rsidR="007D7E34" w:rsidRPr="007D7E34" w:rsidTr="00B82403">
        <w:tc>
          <w:tcPr>
            <w:tcW w:w="484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7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Разработка проектов НПА, регламентирующих взаимодействие (деятельность), права и интересы </w:t>
            </w:r>
            <w:r w:rsidRPr="007D7E34">
              <w:rPr>
                <w:rFonts w:eastAsiaTheme="minorHAnsi"/>
                <w:sz w:val="26"/>
                <w:szCs w:val="26"/>
              </w:rPr>
              <w:lastRenderedPageBreak/>
              <w:t>хозяйствующих субъектов в сферах деятельности Департамента</w:t>
            </w:r>
          </w:p>
        </w:tc>
        <w:tc>
          <w:tcPr>
            <w:tcW w:w="240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 xml:space="preserve">Отдел организации государственных закупок 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Финансово-экономическое </w:t>
            </w:r>
            <w:r w:rsidRPr="007D7E34">
              <w:rPr>
                <w:rFonts w:eastAsiaTheme="minorHAnsi"/>
                <w:sz w:val="26"/>
                <w:szCs w:val="26"/>
              </w:rPr>
              <w:lastRenderedPageBreak/>
              <w:t>управление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Отдел по организации медицинской помощи взрослому населению</w:t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Отдел по организации медицинской помощи детям и матерям </w:t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Сектор лицензирования медицинской и фармацевтической деятельности</w:t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  <w:r w:rsidRPr="007D7E34">
              <w:rPr>
                <w:rFonts w:eastAsiaTheme="minorHAnsi"/>
                <w:sz w:val="26"/>
                <w:szCs w:val="26"/>
              </w:rPr>
              <w:tab/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Отдел административной, правовой и кадровой работы </w:t>
            </w:r>
          </w:p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728" w:type="dxa"/>
          </w:tcPr>
          <w:p w:rsidR="007D7E34" w:rsidRPr="007D7E34" w:rsidRDefault="007D7E34" w:rsidP="007D7E34">
            <w:pPr>
              <w:numPr>
                <w:ilvl w:val="0"/>
                <w:numId w:val="29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 xml:space="preserve">создание дискриминационных или преимущественных условий для отдельных </w:t>
            </w:r>
            <w:r w:rsidRPr="007D7E34">
              <w:rPr>
                <w:rFonts w:eastAsiaTheme="minorHAnsi"/>
                <w:sz w:val="26"/>
                <w:szCs w:val="26"/>
              </w:rPr>
              <w:lastRenderedPageBreak/>
              <w:t>хозяйствующих субъектов;</w:t>
            </w:r>
          </w:p>
          <w:p w:rsidR="007D7E34" w:rsidRPr="007D7E34" w:rsidRDefault="007D7E34" w:rsidP="007D7E34">
            <w:pPr>
              <w:numPr>
                <w:ilvl w:val="0"/>
                <w:numId w:val="29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введение дополнительных (необоснованных) ограничений и требований для отдельных хозяйствующих субъектов;</w:t>
            </w:r>
          </w:p>
          <w:p w:rsidR="007D7E34" w:rsidRPr="007D7E34" w:rsidRDefault="007D7E34" w:rsidP="007D7E34">
            <w:pPr>
              <w:numPr>
                <w:ilvl w:val="0"/>
                <w:numId w:val="29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введение ограничений прав граждан на выбор </w:t>
            </w:r>
            <w:proofErr w:type="gramStart"/>
            <w:r w:rsidRPr="007D7E34">
              <w:rPr>
                <w:rFonts w:eastAsiaTheme="minorHAnsi"/>
                <w:sz w:val="26"/>
                <w:szCs w:val="26"/>
              </w:rPr>
              <w:t>хозяйствующего</w:t>
            </w:r>
            <w:proofErr w:type="gram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</w:rPr>
              <w:t>субьекта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при получении мер социальной поддержки в форме денежной выплаты</w:t>
            </w:r>
          </w:p>
        </w:tc>
        <w:tc>
          <w:tcPr>
            <w:tcW w:w="4526" w:type="dxa"/>
          </w:tcPr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отсутствие у специалистов необходимых и достаточных знаний в области нормотворческой деятельности;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сжатые сроки принятия НПА;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неприменение, ошибочное </w:t>
            </w:r>
            <w:r w:rsidRPr="007D7E34">
              <w:rPr>
                <w:rFonts w:eastAsiaTheme="minorHAnsi"/>
                <w:sz w:val="26"/>
                <w:szCs w:val="26"/>
              </w:rPr>
              <w:lastRenderedPageBreak/>
              <w:t>применение антимонопольного законодательства при подготовке НПА;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высокая нагрузка на специалистов;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>отсутствие достаточного количества кадров;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proofErr w:type="spellStart"/>
            <w:r w:rsidRPr="007D7E34">
              <w:rPr>
                <w:rFonts w:eastAsiaTheme="minorHAnsi"/>
                <w:sz w:val="26"/>
                <w:szCs w:val="26"/>
              </w:rPr>
              <w:t>неразмещение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проекта НПА на официальном сайте Департамента для проведения анализа на предмет соответствия его антимонопольному законодательству;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t xml:space="preserve">недостаточный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уровень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правовой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экспертизы</w:t>
            </w:r>
            <w:proofErr w:type="spellEnd"/>
            <w:r w:rsidRPr="007D7E34">
              <w:rPr>
                <w:rFonts w:eastAsiaTheme="minorHAnsi"/>
                <w:sz w:val="26"/>
                <w:szCs w:val="26"/>
                <w:lang w:val="en-US"/>
              </w:rPr>
              <w:t>;</w:t>
            </w:r>
          </w:p>
          <w:p w:rsidR="007D7E34" w:rsidRPr="007D7E34" w:rsidRDefault="007D7E34" w:rsidP="007D7E34">
            <w:pPr>
              <w:numPr>
                <w:ilvl w:val="0"/>
                <w:numId w:val="28"/>
              </w:numPr>
              <w:outlineLvl w:val="2"/>
              <w:rPr>
                <w:rFonts w:eastAsiaTheme="minorHAnsi"/>
                <w:sz w:val="26"/>
                <w:szCs w:val="26"/>
              </w:rPr>
            </w:pP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недостаточный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уровень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внутреннего</w:t>
            </w:r>
            <w:proofErr w:type="spellEnd"/>
            <w:r w:rsidRPr="007D7E34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7D7E34">
              <w:rPr>
                <w:rFonts w:eastAsiaTheme="minorHAnsi"/>
                <w:sz w:val="26"/>
                <w:szCs w:val="26"/>
                <w:lang w:val="en-US"/>
              </w:rPr>
              <w:t>контроля</w:t>
            </w:r>
            <w:proofErr w:type="spellEnd"/>
          </w:p>
        </w:tc>
        <w:tc>
          <w:tcPr>
            <w:tcW w:w="2168" w:type="dxa"/>
          </w:tcPr>
          <w:p w:rsidR="007D7E34" w:rsidRPr="007D7E34" w:rsidRDefault="007D7E34" w:rsidP="007D7E34">
            <w:pPr>
              <w:outlineLvl w:val="2"/>
              <w:rPr>
                <w:rFonts w:eastAsiaTheme="minorHAnsi"/>
                <w:sz w:val="26"/>
                <w:szCs w:val="26"/>
              </w:rPr>
            </w:pPr>
            <w:r w:rsidRPr="007D7E34">
              <w:rPr>
                <w:rFonts w:eastAsiaTheme="minorHAnsi"/>
                <w:sz w:val="26"/>
                <w:szCs w:val="26"/>
              </w:rPr>
              <w:lastRenderedPageBreak/>
              <w:t>незначительный</w:t>
            </w:r>
          </w:p>
        </w:tc>
      </w:tr>
    </w:tbl>
    <w:p w:rsidR="007D7E34" w:rsidRPr="007D7E34" w:rsidRDefault="007D7E34" w:rsidP="007D7E34">
      <w:pPr>
        <w:outlineLvl w:val="2"/>
        <w:rPr>
          <w:sz w:val="26"/>
          <w:szCs w:val="26"/>
        </w:rPr>
      </w:pPr>
    </w:p>
    <w:p w:rsidR="007D7E34" w:rsidRPr="007D7E34" w:rsidRDefault="007D7E34" w:rsidP="007D7E34">
      <w:pPr>
        <w:outlineLvl w:val="2"/>
        <w:rPr>
          <w:sz w:val="26"/>
          <w:szCs w:val="26"/>
        </w:rPr>
      </w:pPr>
    </w:p>
    <w:p w:rsidR="007D7E34" w:rsidRPr="007D7E34" w:rsidRDefault="007D7E34" w:rsidP="007D7E34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7D7E34" w:rsidRPr="00686551" w:rsidRDefault="007D7E34" w:rsidP="00686551"/>
    <w:sectPr w:rsidR="007D7E34" w:rsidRPr="00686551" w:rsidSect="007D7E34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FB" w:rsidRDefault="004A74FB">
      <w:r>
        <w:separator/>
      </w:r>
    </w:p>
  </w:endnote>
  <w:endnote w:type="continuationSeparator" w:id="0">
    <w:p w:rsidR="004A74FB" w:rsidRDefault="004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FB" w:rsidRDefault="004A74FB">
      <w:r>
        <w:separator/>
      </w:r>
    </w:p>
  </w:footnote>
  <w:footnote w:type="continuationSeparator" w:id="0">
    <w:p w:rsidR="004A74FB" w:rsidRDefault="004A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singleLevel"/>
    <w:tmpl w:val="9288B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F689643B"/>
    <w:multiLevelType w:val="singleLevel"/>
    <w:tmpl w:val="F689643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6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8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3"/>
  </w:num>
  <w:num w:numId="5">
    <w:abstractNumId w:val="23"/>
  </w:num>
  <w:num w:numId="6">
    <w:abstractNumId w:val="4"/>
  </w:num>
  <w:num w:numId="7">
    <w:abstractNumId w:val="11"/>
  </w:num>
  <w:num w:numId="8">
    <w:abstractNumId w:val="19"/>
  </w:num>
  <w:num w:numId="9">
    <w:abstractNumId w:val="24"/>
  </w:num>
  <w:num w:numId="10">
    <w:abstractNumId w:val="22"/>
  </w:num>
  <w:num w:numId="11">
    <w:abstractNumId w:val="18"/>
  </w:num>
  <w:num w:numId="12">
    <w:abstractNumId w:val="6"/>
  </w:num>
  <w:num w:numId="13">
    <w:abstractNumId w:val="26"/>
  </w:num>
  <w:num w:numId="14">
    <w:abstractNumId w:val="16"/>
  </w:num>
  <w:num w:numId="15">
    <w:abstractNumId w:val="27"/>
  </w:num>
  <w:num w:numId="16">
    <w:abstractNumId w:val="21"/>
  </w:num>
  <w:num w:numId="17">
    <w:abstractNumId w:val="8"/>
  </w:num>
  <w:num w:numId="18">
    <w:abstractNumId w:val="14"/>
  </w:num>
  <w:num w:numId="19">
    <w:abstractNumId w:val="17"/>
  </w:num>
  <w:num w:numId="20">
    <w:abstractNumId w:val="20"/>
  </w:num>
  <w:num w:numId="21">
    <w:abstractNumId w:val="9"/>
  </w:num>
  <w:num w:numId="22">
    <w:abstractNumId w:val="2"/>
  </w:num>
  <w:num w:numId="23">
    <w:abstractNumId w:val="3"/>
  </w:num>
  <w:num w:numId="24">
    <w:abstractNumId w:val="10"/>
  </w:num>
  <w:num w:numId="25">
    <w:abstractNumId w:val="15"/>
  </w:num>
  <w:num w:numId="26">
    <w:abstractNumId w:val="25"/>
  </w:num>
  <w:num w:numId="27">
    <w:abstractNumId w:val="12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5E4B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196B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A74FB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09D4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D7E34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27A9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9C5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4E3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table" w:customStyle="1" w:styleId="12">
    <w:name w:val="Сетка таблицы1"/>
    <w:basedOn w:val="a1"/>
    <w:next w:val="a8"/>
    <w:rsid w:val="007D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7D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table" w:customStyle="1" w:styleId="12">
    <w:name w:val="Сетка таблицы1"/>
    <w:basedOn w:val="a1"/>
    <w:next w:val="a8"/>
    <w:rsid w:val="007D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7D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4A17-A9AA-4067-894E-D86FB7D9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Тулюкак Ивелина Геннадьевна</cp:lastModifiedBy>
  <cp:revision>3</cp:revision>
  <cp:lastPrinted>2015-10-26T23:56:00Z</cp:lastPrinted>
  <dcterms:created xsi:type="dcterms:W3CDTF">2024-07-18T22:31:00Z</dcterms:created>
  <dcterms:modified xsi:type="dcterms:W3CDTF">2024-07-18T22:31:00Z</dcterms:modified>
</cp:coreProperties>
</file>