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876BA5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436F90E1" wp14:editId="0B3F75B0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996D31" w:rsidRDefault="00996D31">
      <w:pPr>
        <w:pStyle w:val="a3"/>
        <w:rPr>
          <w:sz w:val="20"/>
        </w:rPr>
      </w:pPr>
    </w:p>
    <w:p w:rsidR="00B80E29" w:rsidRPr="00B80E29" w:rsidRDefault="00B80E29" w:rsidP="00B80E29">
      <w:pPr>
        <w:jc w:val="center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7"/>
        <w:gridCol w:w="2762"/>
        <w:gridCol w:w="1104"/>
        <w:gridCol w:w="1242"/>
        <w:gridCol w:w="3729"/>
      </w:tblGrid>
      <w:tr w:rsidR="0091275D" w:rsidRPr="003D4E7C" w:rsidTr="008E32BD">
        <w:tc>
          <w:tcPr>
            <w:tcW w:w="276" w:type="pct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91275D" w:rsidRPr="003D4E7C" w:rsidRDefault="001750D1" w:rsidP="001750D1">
            <w:pPr>
              <w:pStyle w:val="a4"/>
              <w:tabs>
                <w:tab w:val="clear" w:pos="4153"/>
                <w:tab w:val="clear" w:pos="8306"/>
              </w:tabs>
              <w:ind w:left="-488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2026 года</w:t>
            </w:r>
          </w:p>
        </w:tc>
        <w:tc>
          <w:tcPr>
            <w:tcW w:w="590" w:type="pct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91275D" w:rsidRPr="003D4E7C" w:rsidRDefault="001750D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993" w:type="pct"/>
          </w:tcPr>
          <w:p w:rsidR="0091275D" w:rsidRPr="003D4E7C" w:rsidRDefault="0091275D" w:rsidP="00B80E29">
            <w:pPr>
              <w:pStyle w:val="a4"/>
              <w:tabs>
                <w:tab w:val="clear" w:pos="4153"/>
                <w:tab w:val="clear" w:pos="8306"/>
              </w:tabs>
              <w:ind w:right="-105"/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9F0B4B" w:rsidRPr="009F0B4B" w:rsidRDefault="009F0B4B" w:rsidP="009F0B4B">
      <w:pPr>
        <w:jc w:val="center"/>
        <w:rPr>
          <w:b/>
        </w:rPr>
      </w:pPr>
      <w:r w:rsidRPr="009F0B4B">
        <w:rPr>
          <w:b/>
        </w:rPr>
        <w:t xml:space="preserve">О предоставлении государственной гарантии </w:t>
      </w:r>
    </w:p>
    <w:p w:rsidR="0091275D" w:rsidRPr="00850626" w:rsidRDefault="009F0B4B" w:rsidP="009F0B4B">
      <w:pPr>
        <w:jc w:val="center"/>
        <w:rPr>
          <w:b/>
        </w:rPr>
      </w:pPr>
      <w:r w:rsidRPr="009F0B4B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5D3A66" w:rsidRDefault="009F0B4B" w:rsidP="009F0B4B">
      <w:pPr>
        <w:ind w:firstLine="708"/>
        <w:jc w:val="both"/>
      </w:pPr>
      <w:r w:rsidRPr="009F0B4B"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r w:rsidR="004A0870">
        <w:t xml:space="preserve">                                            </w:t>
      </w:r>
      <w:r w:rsidRPr="009F0B4B">
        <w:t xml:space="preserve">от 3 декабря 2025 года № 95-ОЗ «Об окружном бюджете на 2026 год </w:t>
      </w:r>
      <w:r w:rsidR="004A0870">
        <w:t xml:space="preserve">                                 </w:t>
      </w:r>
      <w:r w:rsidRPr="009F0B4B">
        <w:t>и на плановый период 2027 и 2028 годов», Правительство Чукотского автономного округа</w:t>
      </w:r>
    </w:p>
    <w:p w:rsidR="009F0B4B" w:rsidRDefault="009F0B4B">
      <w:pPr>
        <w:jc w:val="both"/>
      </w:pPr>
    </w:p>
    <w:p w:rsidR="0091275D" w:rsidRPr="003D4E7C" w:rsidRDefault="005D3A66">
      <w:pPr>
        <w:jc w:val="both"/>
      </w:pPr>
      <w:r w:rsidRPr="009A65F0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3D4E7C">
        <w:rPr>
          <w:b/>
        </w:rPr>
        <w:t>:</w:t>
      </w:r>
    </w:p>
    <w:p w:rsidR="0091275D" w:rsidRPr="003D4E7C" w:rsidRDefault="0091275D">
      <w:pPr>
        <w:pStyle w:val="2"/>
        <w:rPr>
          <w:color w:val="auto"/>
          <w:sz w:val="28"/>
          <w:szCs w:val="28"/>
        </w:rPr>
      </w:pPr>
      <w:r w:rsidRPr="003D4E7C">
        <w:rPr>
          <w:color w:val="auto"/>
          <w:sz w:val="28"/>
          <w:szCs w:val="28"/>
        </w:rPr>
        <w:t xml:space="preserve"> </w:t>
      </w:r>
    </w:p>
    <w:p w:rsidR="009F0B4B" w:rsidRPr="009F0B4B" w:rsidRDefault="009F0B4B" w:rsidP="009F0B4B">
      <w:pPr>
        <w:pStyle w:val="2"/>
        <w:rPr>
          <w:color w:val="auto"/>
          <w:sz w:val="28"/>
          <w:szCs w:val="20"/>
        </w:rPr>
      </w:pPr>
      <w:r w:rsidRPr="009F0B4B">
        <w:rPr>
          <w:color w:val="auto"/>
          <w:sz w:val="28"/>
          <w:szCs w:val="20"/>
        </w:rPr>
        <w:t>1.</w:t>
      </w:r>
      <w:r w:rsidRPr="009F0B4B">
        <w:rPr>
          <w:color w:val="auto"/>
          <w:sz w:val="28"/>
          <w:szCs w:val="20"/>
        </w:rPr>
        <w:tab/>
        <w:t xml:space="preserve">Предоставить </w:t>
      </w:r>
      <w:r w:rsidR="00D55B5A">
        <w:rPr>
          <w:color w:val="auto"/>
          <w:sz w:val="28"/>
          <w:szCs w:val="20"/>
        </w:rPr>
        <w:t>о</w:t>
      </w:r>
      <w:r w:rsidRPr="009F0B4B">
        <w:rPr>
          <w:color w:val="auto"/>
          <w:sz w:val="28"/>
          <w:szCs w:val="20"/>
        </w:rPr>
        <w:t>бществу с ограниченной ответственностью «Новомариинский торгово-производственный комплекс» (далее –</w:t>
      </w:r>
      <w:r>
        <w:rPr>
          <w:color w:val="auto"/>
          <w:sz w:val="28"/>
          <w:szCs w:val="20"/>
        </w:rPr>
        <w:t xml:space="preserve"> </w:t>
      </w:r>
      <w:r w:rsidR="00A40A0A">
        <w:rPr>
          <w:color w:val="auto"/>
          <w:sz w:val="28"/>
          <w:szCs w:val="20"/>
        </w:rPr>
        <w:br/>
      </w:r>
      <w:r w:rsidRPr="009F0B4B">
        <w:rPr>
          <w:color w:val="auto"/>
          <w:sz w:val="28"/>
          <w:szCs w:val="20"/>
        </w:rPr>
        <w:t xml:space="preserve">ООО «Новомариинский ТПК») государственную гарантию Чукотского автономного округа на сумму 100 000 000,0 (сто миллионов) рублей </w:t>
      </w:r>
      <w:r w:rsidR="004A0870">
        <w:rPr>
          <w:color w:val="auto"/>
          <w:sz w:val="28"/>
          <w:szCs w:val="20"/>
        </w:rPr>
        <w:t xml:space="preserve">                            </w:t>
      </w:r>
      <w:r w:rsidRPr="009F0B4B">
        <w:rPr>
          <w:color w:val="auto"/>
          <w:sz w:val="28"/>
          <w:szCs w:val="20"/>
        </w:rPr>
        <w:t xml:space="preserve">для обеспечения исполнения обязательств по возврату кредита (основного долга), предоставленного </w:t>
      </w:r>
      <w:r w:rsidR="00D55B5A">
        <w:rPr>
          <w:color w:val="auto"/>
          <w:sz w:val="28"/>
          <w:szCs w:val="20"/>
        </w:rPr>
        <w:t>п</w:t>
      </w:r>
      <w:r w:rsidRPr="009F0B4B">
        <w:rPr>
          <w:color w:val="auto"/>
          <w:sz w:val="28"/>
          <w:szCs w:val="20"/>
        </w:rPr>
        <w:t>убличным акционерным обществом «Сбербанк России», согласно договору об открытии невозобновляемой кредитной линии</w:t>
      </w:r>
      <w:r w:rsidR="00A40A0A">
        <w:rPr>
          <w:color w:val="auto"/>
          <w:sz w:val="28"/>
          <w:szCs w:val="20"/>
        </w:rPr>
        <w:br/>
      </w:r>
      <w:r w:rsidRPr="009F0B4B">
        <w:rPr>
          <w:color w:val="auto"/>
          <w:sz w:val="28"/>
          <w:szCs w:val="20"/>
        </w:rPr>
        <w:t>от</w:t>
      </w:r>
      <w:r w:rsidR="00A40A0A">
        <w:rPr>
          <w:color w:val="auto"/>
          <w:sz w:val="28"/>
          <w:szCs w:val="20"/>
        </w:rPr>
        <w:t xml:space="preserve"> </w:t>
      </w:r>
      <w:r w:rsidRPr="009F0B4B">
        <w:rPr>
          <w:color w:val="auto"/>
          <w:sz w:val="28"/>
          <w:szCs w:val="20"/>
        </w:rPr>
        <w:t>2</w:t>
      </w:r>
      <w:r w:rsidR="00A40A0A">
        <w:rPr>
          <w:color w:val="auto"/>
          <w:sz w:val="28"/>
          <w:szCs w:val="20"/>
        </w:rPr>
        <w:t>5</w:t>
      </w:r>
      <w:r w:rsidRPr="009F0B4B">
        <w:rPr>
          <w:color w:val="auto"/>
          <w:sz w:val="28"/>
          <w:szCs w:val="20"/>
        </w:rPr>
        <w:t xml:space="preserve"> </w:t>
      </w:r>
      <w:r w:rsidR="00A40A0A">
        <w:rPr>
          <w:color w:val="auto"/>
          <w:sz w:val="28"/>
          <w:szCs w:val="20"/>
        </w:rPr>
        <w:t>июня</w:t>
      </w:r>
      <w:r w:rsidRPr="009F0B4B">
        <w:rPr>
          <w:color w:val="auto"/>
          <w:sz w:val="28"/>
          <w:szCs w:val="20"/>
        </w:rPr>
        <w:t xml:space="preserve"> 202</w:t>
      </w:r>
      <w:r w:rsidR="00A40A0A">
        <w:rPr>
          <w:color w:val="auto"/>
          <w:sz w:val="28"/>
          <w:szCs w:val="20"/>
        </w:rPr>
        <w:t>5</w:t>
      </w:r>
      <w:r w:rsidRPr="009F0B4B">
        <w:rPr>
          <w:color w:val="auto"/>
          <w:sz w:val="28"/>
          <w:szCs w:val="20"/>
        </w:rPr>
        <w:t xml:space="preserve"> года № </w:t>
      </w:r>
      <w:r w:rsidR="00A40A0A" w:rsidRPr="00A40A0A">
        <w:rPr>
          <w:color w:val="auto"/>
          <w:sz w:val="28"/>
          <w:szCs w:val="20"/>
        </w:rPr>
        <w:t>7M-700BPIJ-3DX</w:t>
      </w:r>
      <w:r w:rsidRPr="009F0B4B">
        <w:rPr>
          <w:color w:val="auto"/>
          <w:sz w:val="28"/>
          <w:szCs w:val="20"/>
        </w:rPr>
        <w:t xml:space="preserve">, заключённому </w:t>
      </w:r>
      <w:r w:rsidR="00A40A0A">
        <w:rPr>
          <w:color w:val="auto"/>
          <w:sz w:val="28"/>
          <w:szCs w:val="20"/>
        </w:rPr>
        <w:br/>
      </w:r>
      <w:r w:rsidRPr="009F0B4B">
        <w:rPr>
          <w:color w:val="auto"/>
          <w:sz w:val="28"/>
          <w:szCs w:val="20"/>
        </w:rPr>
        <w:t>с</w:t>
      </w:r>
      <w:r w:rsidR="00A40A0A">
        <w:rPr>
          <w:color w:val="auto"/>
          <w:sz w:val="28"/>
          <w:szCs w:val="20"/>
        </w:rPr>
        <w:t xml:space="preserve"> </w:t>
      </w:r>
      <w:r w:rsidR="00A40A0A" w:rsidRPr="00A40A0A">
        <w:rPr>
          <w:color w:val="auto"/>
          <w:sz w:val="28"/>
          <w:szCs w:val="20"/>
        </w:rPr>
        <w:t>ООО «Новомариинский ТПК»</w:t>
      </w:r>
      <w:r w:rsidRPr="009F0B4B">
        <w:rPr>
          <w:color w:val="auto"/>
          <w:sz w:val="28"/>
          <w:szCs w:val="20"/>
        </w:rPr>
        <w:t>.</w:t>
      </w:r>
    </w:p>
    <w:p w:rsidR="0091275D" w:rsidRPr="003D4E7C" w:rsidRDefault="009F0B4B" w:rsidP="009F0B4B">
      <w:pPr>
        <w:pStyle w:val="2"/>
        <w:rPr>
          <w:color w:val="auto"/>
          <w:sz w:val="28"/>
          <w:szCs w:val="28"/>
        </w:rPr>
      </w:pPr>
      <w:r w:rsidRPr="009F0B4B">
        <w:rPr>
          <w:color w:val="auto"/>
          <w:sz w:val="28"/>
          <w:szCs w:val="20"/>
        </w:rPr>
        <w:t>2.</w:t>
      </w:r>
      <w:r w:rsidRPr="009F0B4B">
        <w:rPr>
          <w:color w:val="auto"/>
          <w:sz w:val="28"/>
          <w:szCs w:val="20"/>
        </w:rPr>
        <w:tab/>
        <w:t>Контроль за исполнением настоящего постановления возложить</w:t>
      </w:r>
      <w:r w:rsidR="00A40A0A">
        <w:rPr>
          <w:color w:val="auto"/>
          <w:sz w:val="28"/>
          <w:szCs w:val="20"/>
        </w:rPr>
        <w:t xml:space="preserve"> </w:t>
      </w:r>
      <w:r w:rsidRPr="009F0B4B">
        <w:rPr>
          <w:color w:val="auto"/>
          <w:sz w:val="28"/>
          <w:szCs w:val="20"/>
        </w:rPr>
        <w:t>на Департамент финансов и имущественных отношений Чукотского автономного округа (</w:t>
      </w:r>
      <w:r w:rsidR="00A40A0A">
        <w:rPr>
          <w:color w:val="auto"/>
          <w:sz w:val="28"/>
          <w:szCs w:val="20"/>
        </w:rPr>
        <w:t>Шубина О.И.</w:t>
      </w:r>
      <w:r w:rsidRPr="009F0B4B">
        <w:rPr>
          <w:color w:val="auto"/>
          <w:sz w:val="28"/>
          <w:szCs w:val="20"/>
        </w:rPr>
        <w:t>).</w:t>
      </w:r>
    </w:p>
    <w:p w:rsidR="005D3A66" w:rsidRDefault="005D3A66">
      <w:pPr>
        <w:pStyle w:val="2"/>
        <w:rPr>
          <w:color w:val="auto"/>
          <w:sz w:val="28"/>
          <w:szCs w:val="28"/>
        </w:rPr>
      </w:pPr>
    </w:p>
    <w:p w:rsidR="005D3A66" w:rsidRDefault="005D3A66">
      <w:pPr>
        <w:pStyle w:val="2"/>
        <w:rPr>
          <w:color w:val="auto"/>
          <w:sz w:val="28"/>
          <w:szCs w:val="28"/>
        </w:rPr>
      </w:pPr>
    </w:p>
    <w:p w:rsidR="00A40A0A" w:rsidRPr="003D4E7C" w:rsidRDefault="00A40A0A">
      <w:pPr>
        <w:pStyle w:val="2"/>
        <w:rPr>
          <w:color w:val="auto"/>
          <w:sz w:val="28"/>
          <w:szCs w:val="28"/>
        </w:rPr>
      </w:pPr>
    </w:p>
    <w:p w:rsidR="00507410" w:rsidRDefault="00507410" w:rsidP="005D3A66">
      <w:pPr>
        <w:pStyle w:val="2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Губернатор</w:t>
      </w:r>
    </w:p>
    <w:p w:rsidR="00892F96" w:rsidRPr="00721142" w:rsidRDefault="00507410" w:rsidP="005D3A66">
      <w:pPr>
        <w:pStyle w:val="2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Чукотского автономного округа</w:t>
      </w:r>
      <w:r w:rsidR="005D3A66">
        <w:rPr>
          <w:color w:val="auto"/>
          <w:sz w:val="28"/>
          <w:szCs w:val="28"/>
        </w:rPr>
        <w:t xml:space="preserve">                                                      </w:t>
      </w:r>
      <w:r w:rsidR="00A40A0A" w:rsidRPr="00A40A0A">
        <w:rPr>
          <w:color w:val="auto"/>
          <w:sz w:val="28"/>
          <w:szCs w:val="28"/>
        </w:rPr>
        <w:t>В.Г. Кузнецов</w:t>
      </w:r>
    </w:p>
    <w:sectPr w:rsidR="00892F96" w:rsidRPr="00721142" w:rsidSect="00876BA5">
      <w:headerReference w:type="even" r:id="rId7"/>
      <w:headerReference w:type="default" r:id="rId8"/>
      <w:pgSz w:w="11906" w:h="16838" w:code="9"/>
      <w:pgMar w:top="624" w:right="851" w:bottom="1134" w:left="1701" w:header="397" w:footer="397" w:gutter="0"/>
      <w:paperSrc w:first="7" w:other="7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2E" w:rsidRDefault="00A1172E" w:rsidP="002B3FBB">
      <w:r>
        <w:separator/>
      </w:r>
    </w:p>
  </w:endnote>
  <w:endnote w:type="continuationSeparator" w:id="0">
    <w:p w:rsidR="00A1172E" w:rsidRDefault="00A1172E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2E" w:rsidRDefault="00A1172E" w:rsidP="002B3FBB">
      <w:r>
        <w:separator/>
      </w:r>
    </w:p>
  </w:footnote>
  <w:footnote w:type="continuationSeparator" w:id="0">
    <w:p w:rsidR="00A1172E" w:rsidRDefault="00A1172E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</w:p>
  <w:p w:rsidR="001334E4" w:rsidRDefault="001334E4" w:rsidP="00C20B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23ACC"/>
    <w:rsid w:val="00125060"/>
    <w:rsid w:val="0012729D"/>
    <w:rsid w:val="001316B9"/>
    <w:rsid w:val="001334E4"/>
    <w:rsid w:val="00135D63"/>
    <w:rsid w:val="00153B6E"/>
    <w:rsid w:val="001629A1"/>
    <w:rsid w:val="00162E81"/>
    <w:rsid w:val="001750D1"/>
    <w:rsid w:val="0018058C"/>
    <w:rsid w:val="001872C6"/>
    <w:rsid w:val="001A1D50"/>
    <w:rsid w:val="001C3F3E"/>
    <w:rsid w:val="001D233A"/>
    <w:rsid w:val="001E6D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6402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70F"/>
    <w:rsid w:val="002E7EDB"/>
    <w:rsid w:val="002F1CA9"/>
    <w:rsid w:val="002F4282"/>
    <w:rsid w:val="002F4921"/>
    <w:rsid w:val="0030310E"/>
    <w:rsid w:val="00316100"/>
    <w:rsid w:val="00323B7A"/>
    <w:rsid w:val="00325EFE"/>
    <w:rsid w:val="00330418"/>
    <w:rsid w:val="0036502E"/>
    <w:rsid w:val="003664B8"/>
    <w:rsid w:val="00373653"/>
    <w:rsid w:val="0037581F"/>
    <w:rsid w:val="00380A14"/>
    <w:rsid w:val="00384BB4"/>
    <w:rsid w:val="00386507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0870"/>
    <w:rsid w:val="004A2EC2"/>
    <w:rsid w:val="004A3B8E"/>
    <w:rsid w:val="004B2BD4"/>
    <w:rsid w:val="004C2404"/>
    <w:rsid w:val="004C25E0"/>
    <w:rsid w:val="004C3B4C"/>
    <w:rsid w:val="004D5B2D"/>
    <w:rsid w:val="004F787C"/>
    <w:rsid w:val="00507410"/>
    <w:rsid w:val="00533BAC"/>
    <w:rsid w:val="00546F63"/>
    <w:rsid w:val="00561A5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B3FEE"/>
    <w:rsid w:val="006C5DD0"/>
    <w:rsid w:val="006D04E6"/>
    <w:rsid w:val="006D19BB"/>
    <w:rsid w:val="006D5DC0"/>
    <w:rsid w:val="006E7729"/>
    <w:rsid w:val="006F7807"/>
    <w:rsid w:val="00700D6F"/>
    <w:rsid w:val="007027EA"/>
    <w:rsid w:val="007045A4"/>
    <w:rsid w:val="00705992"/>
    <w:rsid w:val="00717AE0"/>
    <w:rsid w:val="00721142"/>
    <w:rsid w:val="007327AF"/>
    <w:rsid w:val="007329D9"/>
    <w:rsid w:val="00740621"/>
    <w:rsid w:val="00744AC3"/>
    <w:rsid w:val="007477A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5DF6"/>
    <w:rsid w:val="007E264A"/>
    <w:rsid w:val="007F6748"/>
    <w:rsid w:val="007F76B3"/>
    <w:rsid w:val="008032C5"/>
    <w:rsid w:val="00804784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65B37"/>
    <w:rsid w:val="0087346C"/>
    <w:rsid w:val="00874EF3"/>
    <w:rsid w:val="0087597B"/>
    <w:rsid w:val="00876BA5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32BD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B6808"/>
    <w:rsid w:val="009C1EBC"/>
    <w:rsid w:val="009C265D"/>
    <w:rsid w:val="009E0B2A"/>
    <w:rsid w:val="009F0B4B"/>
    <w:rsid w:val="009F299C"/>
    <w:rsid w:val="009F2FAD"/>
    <w:rsid w:val="009F57EC"/>
    <w:rsid w:val="00A03A98"/>
    <w:rsid w:val="00A03BBC"/>
    <w:rsid w:val="00A1172E"/>
    <w:rsid w:val="00A20904"/>
    <w:rsid w:val="00A22F9F"/>
    <w:rsid w:val="00A40A0A"/>
    <w:rsid w:val="00A53240"/>
    <w:rsid w:val="00A540A2"/>
    <w:rsid w:val="00A7451B"/>
    <w:rsid w:val="00A81401"/>
    <w:rsid w:val="00A81DDB"/>
    <w:rsid w:val="00A836D2"/>
    <w:rsid w:val="00A84BC4"/>
    <w:rsid w:val="00A90405"/>
    <w:rsid w:val="00A936CD"/>
    <w:rsid w:val="00AA09BD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F154A"/>
    <w:rsid w:val="00AF51F6"/>
    <w:rsid w:val="00B124C0"/>
    <w:rsid w:val="00B14977"/>
    <w:rsid w:val="00B20426"/>
    <w:rsid w:val="00B206BC"/>
    <w:rsid w:val="00B25204"/>
    <w:rsid w:val="00B30C2B"/>
    <w:rsid w:val="00B55E3E"/>
    <w:rsid w:val="00B56F97"/>
    <w:rsid w:val="00B571D8"/>
    <w:rsid w:val="00B57A33"/>
    <w:rsid w:val="00B71296"/>
    <w:rsid w:val="00B723FD"/>
    <w:rsid w:val="00B73774"/>
    <w:rsid w:val="00B745EA"/>
    <w:rsid w:val="00B80E29"/>
    <w:rsid w:val="00B83A1D"/>
    <w:rsid w:val="00B85BBA"/>
    <w:rsid w:val="00B96C6F"/>
    <w:rsid w:val="00BA537B"/>
    <w:rsid w:val="00BA5E27"/>
    <w:rsid w:val="00BA752A"/>
    <w:rsid w:val="00BD027E"/>
    <w:rsid w:val="00BE48DD"/>
    <w:rsid w:val="00BE6DAE"/>
    <w:rsid w:val="00C01C28"/>
    <w:rsid w:val="00C11FCD"/>
    <w:rsid w:val="00C13B38"/>
    <w:rsid w:val="00C16E12"/>
    <w:rsid w:val="00C20BBB"/>
    <w:rsid w:val="00C522BF"/>
    <w:rsid w:val="00C526DD"/>
    <w:rsid w:val="00C54267"/>
    <w:rsid w:val="00C56F38"/>
    <w:rsid w:val="00C63AC9"/>
    <w:rsid w:val="00C63FE0"/>
    <w:rsid w:val="00C720D0"/>
    <w:rsid w:val="00C73785"/>
    <w:rsid w:val="00C76F30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E6865"/>
    <w:rsid w:val="00CF7373"/>
    <w:rsid w:val="00D01BDC"/>
    <w:rsid w:val="00D13C87"/>
    <w:rsid w:val="00D2231A"/>
    <w:rsid w:val="00D2575A"/>
    <w:rsid w:val="00D37C64"/>
    <w:rsid w:val="00D43E3E"/>
    <w:rsid w:val="00D50281"/>
    <w:rsid w:val="00D55B5A"/>
    <w:rsid w:val="00D56154"/>
    <w:rsid w:val="00D92F00"/>
    <w:rsid w:val="00DA018E"/>
    <w:rsid w:val="00DB057B"/>
    <w:rsid w:val="00DD044F"/>
    <w:rsid w:val="00DD2659"/>
    <w:rsid w:val="00DD79DE"/>
    <w:rsid w:val="00DE1B62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26D3"/>
    <w:rsid w:val="00EB7885"/>
    <w:rsid w:val="00EC524B"/>
    <w:rsid w:val="00EC6D4E"/>
    <w:rsid w:val="00EE00BF"/>
    <w:rsid w:val="00EE34BE"/>
    <w:rsid w:val="00EF78B1"/>
    <w:rsid w:val="00F10644"/>
    <w:rsid w:val="00F12D18"/>
    <w:rsid w:val="00F22D64"/>
    <w:rsid w:val="00F242AF"/>
    <w:rsid w:val="00F26518"/>
    <w:rsid w:val="00F30682"/>
    <w:rsid w:val="00F36B6B"/>
    <w:rsid w:val="00F477BD"/>
    <w:rsid w:val="00F57201"/>
    <w:rsid w:val="00F657EC"/>
    <w:rsid w:val="00F71497"/>
    <w:rsid w:val="00F721C7"/>
    <w:rsid w:val="00F84A93"/>
    <w:rsid w:val="00F93E16"/>
    <w:rsid w:val="00F950D8"/>
    <w:rsid w:val="00F95375"/>
    <w:rsid w:val="00FA7461"/>
    <w:rsid w:val="00FC328E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75DE8"/>
  <w15:chartTrackingRefBased/>
  <w15:docId w15:val="{FDF3801D-1117-4DB1-B0D1-B9A5C0A2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2026-03-29T22:13:00Z</cp:lastPrinted>
  <dcterms:created xsi:type="dcterms:W3CDTF">2026-03-29T22:14:00Z</dcterms:created>
  <dcterms:modified xsi:type="dcterms:W3CDTF">2026-03-29T22:14:00Z</dcterms:modified>
</cp:coreProperties>
</file>