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3" w:rsidRDefault="00651DA3">
      <w:pPr>
        <w:widowControl w:val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33425" cy="92328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3425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651DA3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651DA3">
      <w:pPr>
        <w:widowControl w:val="0"/>
        <w:jc w:val="center"/>
        <w:rPr>
          <w:sz w:val="28"/>
        </w:rPr>
      </w:pPr>
      <w:r>
        <w:rPr>
          <w:sz w:val="28"/>
        </w:rPr>
        <w:t>ЧУКОТСКИЙ АВТОНОМНЫЙ ОКРУГ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651DA3">
      <w:pPr>
        <w:widowControl w:val="0"/>
        <w:jc w:val="center"/>
        <w:rPr>
          <w:sz w:val="28"/>
        </w:rPr>
      </w:pPr>
      <w:r>
        <w:rPr>
          <w:b/>
          <w:sz w:val="28"/>
        </w:rPr>
        <w:t>ЗАКОН</w:t>
      </w:r>
    </w:p>
    <w:p w:rsidR="009226A3" w:rsidRDefault="009226A3">
      <w:pPr>
        <w:widowControl w:val="0"/>
        <w:jc w:val="center"/>
        <w:rPr>
          <w:sz w:val="28"/>
        </w:rPr>
      </w:pPr>
    </w:p>
    <w:p w:rsidR="009226A3" w:rsidRDefault="00651DA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«О внесении изменений в Закон Чукотского автономного округа</w:t>
      </w:r>
      <w:r>
        <w:rPr>
          <w:b/>
          <w:sz w:val="28"/>
        </w:rPr>
        <w:br/>
        <w:t>«О порядке  проведения референдума Чукотского автономного округа и местных референдумов в Чукотском автономном округе»</w:t>
      </w:r>
    </w:p>
    <w:p w:rsidR="009226A3" w:rsidRDefault="009226A3">
      <w:pPr>
        <w:widowControl w:val="0"/>
        <w:rPr>
          <w:sz w:val="28"/>
        </w:rPr>
      </w:pPr>
    </w:p>
    <w:p w:rsidR="009226A3" w:rsidRDefault="009226A3">
      <w:pPr>
        <w:widowControl w:val="0"/>
        <w:rPr>
          <w:sz w:val="28"/>
        </w:rPr>
      </w:pPr>
    </w:p>
    <w:p w:rsidR="009226A3" w:rsidRDefault="00651DA3">
      <w:pPr>
        <w:widowControl w:val="0"/>
        <w:jc w:val="both"/>
        <w:rPr>
          <w:sz w:val="28"/>
        </w:rPr>
      </w:pPr>
      <w:r>
        <w:rPr>
          <w:sz w:val="28"/>
        </w:rPr>
        <w:t xml:space="preserve">Принят Думой </w:t>
      </w:r>
      <w:r>
        <w:rPr>
          <w:sz w:val="28"/>
        </w:rPr>
        <w:t>Чукотского</w:t>
      </w:r>
    </w:p>
    <w:p w:rsidR="009226A3" w:rsidRDefault="00651DA3">
      <w:pPr>
        <w:widowControl w:val="0"/>
        <w:jc w:val="both"/>
        <w:rPr>
          <w:sz w:val="28"/>
        </w:rPr>
      </w:pPr>
      <w:r>
        <w:rPr>
          <w:sz w:val="28"/>
        </w:rPr>
        <w:t>автономного округа</w:t>
      </w:r>
    </w:p>
    <w:p w:rsidR="009226A3" w:rsidRDefault="00651DA3">
      <w:pPr>
        <w:widowControl w:val="0"/>
        <w:jc w:val="both"/>
        <w:rPr>
          <w:sz w:val="28"/>
        </w:rPr>
      </w:pPr>
      <w:r>
        <w:rPr>
          <w:sz w:val="28"/>
        </w:rPr>
        <w:t>28 февраля 2025 года</w:t>
      </w:r>
    </w:p>
    <w:p w:rsidR="009226A3" w:rsidRDefault="009226A3">
      <w:pPr>
        <w:widowControl w:val="0"/>
        <w:rPr>
          <w:sz w:val="28"/>
        </w:rPr>
      </w:pPr>
    </w:p>
    <w:p w:rsidR="009226A3" w:rsidRDefault="009226A3">
      <w:pPr>
        <w:widowControl w:val="0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Закон Чукотского автономного округа от 17 декабря 2015 года № 121-ОЗ «О порядке проведения референдума Чукотского автономного округа и местных референдумов в Чукотском автономном округе</w:t>
      </w:r>
      <w:r>
        <w:rPr>
          <w:sz w:val="28"/>
        </w:rPr>
        <w:t xml:space="preserve">» («Ведомости» </w:t>
      </w:r>
      <w:r>
        <w:br/>
      </w:r>
      <w:r>
        <w:rPr>
          <w:sz w:val="28"/>
        </w:rPr>
        <w:t xml:space="preserve">№ 49/3 (735/3) - приложение к газете «Крайний Север» № 49 (2011) </w:t>
      </w:r>
      <w:r>
        <w:br/>
      </w:r>
      <w:r>
        <w:rPr>
          <w:sz w:val="28"/>
        </w:rPr>
        <w:t xml:space="preserve">от 18.12.2015 г., «Ведомости» № 43 (831) - приложение к газете </w:t>
      </w:r>
      <w:r>
        <w:br/>
      </w:r>
      <w:r>
        <w:rPr>
          <w:sz w:val="28"/>
        </w:rPr>
        <w:t>«Крайний Север» № 43 (2107) от 03.11.2017 г., «Ведомости» № 21 (911) - приложение к газете «Крайний Север» № 2</w:t>
      </w:r>
      <w:r>
        <w:rPr>
          <w:sz w:val="28"/>
        </w:rPr>
        <w:t>1 (2187) от 31.05.2019 г., «Ведомости» № 49 (990) - приложение к газете «Крайний Север» № 49 (2266) от 11.12.2020 г., «Ведомости» № 13/1 (1057/1) - приложение к газете «Крайний Север» № 13 (2333) от 08.04.2022 г., «Ведомости» № 49/1 (1093/1) - приложение к</w:t>
      </w:r>
      <w:r>
        <w:rPr>
          <w:sz w:val="28"/>
        </w:rPr>
        <w:t xml:space="preserve"> газете «Крайний Север» № 49 (2369) от 16.12.2022 г.) следующие изменения: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часть 1 статьи 5 дополнить словами «, за исключением случаев, предусмотренных пунктами 8 и 11 статьи 10.1 Федерального закона </w:t>
      </w:r>
      <w:r>
        <w:br/>
      </w:r>
      <w:r>
        <w:rPr>
          <w:sz w:val="28"/>
        </w:rPr>
        <w:t xml:space="preserve">«Об основных гарантиях избирательных прав и права </w:t>
      </w:r>
      <w:r>
        <w:rPr>
          <w:sz w:val="28"/>
        </w:rPr>
        <w:t>на участие в референдуме граждан Российской Федерации»»;</w:t>
      </w:r>
    </w:p>
    <w:p w:rsidR="009226A3" w:rsidRDefault="009226A3">
      <w:pPr>
        <w:widowControl w:val="0"/>
        <w:ind w:firstLine="709"/>
        <w:jc w:val="both"/>
        <w:rPr>
          <w:sz w:val="28"/>
          <w:highlight w:val="green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часть 2 статьи 15 </w:t>
      </w:r>
      <w:proofErr w:type="gramStart"/>
      <w:r>
        <w:rPr>
          <w:sz w:val="28"/>
        </w:rPr>
        <w:t>дополнить  абзацем</w:t>
      </w:r>
      <w:proofErr w:type="gramEnd"/>
      <w:r>
        <w:rPr>
          <w:sz w:val="28"/>
        </w:rPr>
        <w:t xml:space="preserve"> пятым следующего содержания: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«На  участке референдума, образованном на территории воинской части, расположенной в обособленной, удаленной от населенных пункто</w:t>
      </w:r>
      <w:r>
        <w:rPr>
          <w:sz w:val="28"/>
        </w:rPr>
        <w:t>в местности, участковая комиссия формируется территориальной комиссией (по решению территориальной комиссии - командиром соответствующей воинской части) из числа военнослужащих, находящихся в воинской части, членов их семей и других участников референдума,</w:t>
      </w:r>
      <w:r>
        <w:rPr>
          <w:sz w:val="28"/>
        </w:rPr>
        <w:t xml:space="preserve">  проживающих в пределах расположения воинской части, в том числе не входящих в резерв составов участковых комиссий.»;</w:t>
      </w:r>
    </w:p>
    <w:p w:rsidR="009226A3" w:rsidRDefault="009226A3">
      <w:pPr>
        <w:widowControl w:val="0"/>
        <w:ind w:firstLine="709"/>
        <w:jc w:val="both"/>
        <w:rPr>
          <w:sz w:val="28"/>
          <w:highlight w:val="green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в статье 16: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в части 2.2 слова «или возмездного гражданско-правового» исключить;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в части 5 слова «три дня» заменить словами «семь дней»;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в абзаце втором части 9.1 статьи 19 после слов «печатью участковой комиссии» дополнить словами «, или указанная копия может быть изготовлена в электронном виде, и в таком случае она подписывается</w:t>
      </w:r>
      <w:r>
        <w:rPr>
          <w:sz w:val="28"/>
        </w:rPr>
        <w:t xml:space="preserve"> электронными подписями председателя, секретаря участковой комиссии»;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 в части 3.1 статьи 27 слова «орган исполнительной власти» заменить словами «исполнительный орган»;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в части 3 статьи 28 слова «, а также в день голосования» заменить словами «и д</w:t>
      </w:r>
      <w:r>
        <w:rPr>
          <w:sz w:val="28"/>
        </w:rPr>
        <w:t>о момента окончания голосования на территории соответствующего округа референдума в день голосования (последний день голосования)»;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часть 2 статьи 37 дополнить словами «, а также с учетом требований, установленных Центральной избирательной комиссией Ро</w:t>
      </w:r>
      <w:r>
        <w:rPr>
          <w:sz w:val="28"/>
        </w:rPr>
        <w:t>ссийской Федерации, должны быть определены места для наблюдателей и указанных в пункте 1.2 статьи 30 Федерального закона «Об основных гарантиях избирательных прав и права на участие в референдуме граждан Российской Федерации» представителей средств массово</w:t>
      </w:r>
      <w:r>
        <w:rPr>
          <w:sz w:val="28"/>
        </w:rPr>
        <w:t>й информации»;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в статье 39: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в части 13 после слов «передачи бюллетеней» дополнить словами «, за исключением случая проведения дистанционного электронного голосования в соответствии со статьей 64.1 Федерального закона «Об основных гарантиях избирател</w:t>
      </w:r>
      <w:r>
        <w:rPr>
          <w:sz w:val="28"/>
        </w:rPr>
        <w:t>ьных прав и права на участие в референдуме граждан Российской Федерации»;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17 изложить в следующей редакции: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«17. В соответствии с Федеральным законом «Об основных гарантиях избирательных прав и права на участие в референдуме граждан Российской Фед</w:t>
      </w:r>
      <w:r>
        <w:rPr>
          <w:sz w:val="28"/>
        </w:rPr>
        <w:t>ерации» в исключительных случаях на участках референдума, образованных в отдаленных и труднодоступных местностях, на судах, которые будут находиться в день голосования в плавании, на полярных станциях, а также в случае проведения голосования, предусмотренн</w:t>
      </w:r>
      <w:r>
        <w:rPr>
          <w:sz w:val="28"/>
        </w:rPr>
        <w:t>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статьи 65 Федера</w:t>
      </w:r>
      <w:r>
        <w:rPr>
          <w:sz w:val="28"/>
        </w:rPr>
        <w:t xml:space="preserve">льного закона «Об основных гарантиях избирательных прав и права на участие в референдуме граждан Российской Федерации», допускается изготовление избирательной документации, включая бюллетени, непосредственно участковой комиссией, при этом положения пункта </w:t>
      </w:r>
      <w:r>
        <w:rPr>
          <w:sz w:val="28"/>
        </w:rPr>
        <w:t>3 статьи 63 Федерального закона «Об основных гарантиях избирательных прав и права на участие в референдуме граждан Российской Федерации» могут не применяться. Решение об изготовлении избирательной документации с указанием необходимого тиража и сроков изгот</w:t>
      </w:r>
      <w:r>
        <w:rPr>
          <w:sz w:val="28"/>
        </w:rPr>
        <w:t>овления бюллетеней принимается участковой комиссией по согласованию с соответствующей вышестоящей комиссией референдума.»;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часть 18 изложить в следующей редакции: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«18. В день голосования (последний день голосования на соответствующем референдуме) после </w:t>
      </w:r>
      <w:r>
        <w:rPr>
          <w:sz w:val="28"/>
        </w:rPr>
        <w:t>окончания времени голосования неиспользованные бюллетени, находящиеся в комиссиях, подсчитываются и погашаются в соответствии с требованиями пункта 3 статьи 68 Федерального закона «Об основных гарантиях избирательных прав и права на участие в референдуме г</w:t>
      </w:r>
      <w:r>
        <w:rPr>
          <w:sz w:val="28"/>
        </w:rPr>
        <w:t>раждан Российской Федерации». Во всех комиссиях, кроме участковых комиссий, при погашении неиспользованных бюллетеней составляется акт, в котором указывается число погашенных бюллетеней. При погашении бюллетеней вправе присутствовать лица, указанные в пунк</w:t>
      </w:r>
      <w:r>
        <w:rPr>
          <w:sz w:val="28"/>
        </w:rPr>
        <w:t>те 3 статьи 30 Федерального закона «Об основных гарантиях избирательных прав и права на участие в референдуме граждан Российской Федерации». Эти бюллетени хранятся секретарем комиссии вместе с другой документацией комиссии.»;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в статье 40: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а) часть 2.1 </w:t>
      </w:r>
      <w:r>
        <w:rPr>
          <w:sz w:val="28"/>
        </w:rPr>
        <w:t>изложить в следующей редакции: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«2.1. На участках референдума, образованных в воинских частях, в труднодоступных или отдаленных местностях, на судах, которые будут находиться в день голосования в плавании, на полярных станциях, а также на участках референду</w:t>
      </w:r>
      <w:r>
        <w:rPr>
          <w:sz w:val="28"/>
        </w:rPr>
        <w:t>ма, образованных для проведения голосования, 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</w:t>
      </w:r>
      <w:r>
        <w:rPr>
          <w:sz w:val="28"/>
        </w:rPr>
        <w:t xml:space="preserve"> голосования, предусмотренного пунктом 17 статьи 65 Федерального закона </w:t>
      </w:r>
      <w:r>
        <w:br/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 участковая комиссия может объявить голосование законченным раньше времени, ус</w:t>
      </w:r>
      <w:r>
        <w:rPr>
          <w:sz w:val="28"/>
        </w:rPr>
        <w:t>тановленного в соответствии с частью 1 настоящей статьи, если проголосовали все участники референдума, включенные в список участников референдума.»;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10 дополнить словами «в соответствии с требованиями пункта 3 статьи 68 Федерального закона «Об осн</w:t>
      </w:r>
      <w:r>
        <w:rPr>
          <w:sz w:val="28"/>
        </w:rPr>
        <w:t>овных гарантиях избирательных прав и права на участие в референдуме граждан Российской Федерации»;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часть 10.3 после слов «в ее работе» дополнить словами «и удаляется из помещения для голосования»;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10) часть 2 статьи 43 дополнить предложением следующего</w:t>
      </w:r>
      <w:r>
        <w:rPr>
          <w:sz w:val="28"/>
        </w:rPr>
        <w:t xml:space="preserve"> содержания: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«Указанный реестр может быть составлен в электронном виде в порядке, установленном Центральной избирательной комиссией Российской Федерации.»;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статью 46 дополнить частью 15.1 следующего содержания: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«15.1. В случае проведения голосования, </w:t>
      </w:r>
      <w:r>
        <w:rPr>
          <w:sz w:val="28"/>
        </w:rPr>
        <w:t>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</w:t>
      </w:r>
      <w:r>
        <w:rPr>
          <w:sz w:val="28"/>
        </w:rPr>
        <w:t>тьи 65 Федерального закона «Об основных гарантиях избирательных прав и права на участие в референдуме граждан Российской Федерации», особенности составления сводной таблицы и протокола об итогах голосования (о результатах референдума) вышестоящей комиссией</w:t>
      </w:r>
      <w:r>
        <w:rPr>
          <w:sz w:val="28"/>
        </w:rPr>
        <w:t xml:space="preserve"> с учетом данных об итогах голосования, предусмотренного пунктом 17 статьи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</w:t>
      </w:r>
      <w:r>
        <w:rPr>
          <w:sz w:val="28"/>
        </w:rPr>
        <w:t>сования, предусмотренного пунктом 17 статьи 65 Федерального закона «Об основных гарантиях избирательных прав и права на участие в референдуме граждан Российской Федерации», устанавливаются Центральной избирательной комиссией Российской Федерации.»;</w:t>
      </w:r>
    </w:p>
    <w:p w:rsidR="009226A3" w:rsidRDefault="009226A3">
      <w:pPr>
        <w:widowControl w:val="0"/>
        <w:ind w:firstLine="709"/>
        <w:jc w:val="both"/>
        <w:rPr>
          <w:sz w:val="28"/>
        </w:rPr>
      </w:pPr>
    </w:p>
    <w:p w:rsidR="009226A3" w:rsidRDefault="00651DA3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12)</w:t>
      </w:r>
      <w:r>
        <w:rPr>
          <w:spacing w:val="-1"/>
          <w:sz w:val="28"/>
        </w:rPr>
        <w:t xml:space="preserve"> в статье 47:</w:t>
      </w:r>
    </w:p>
    <w:p w:rsidR="009226A3" w:rsidRDefault="00651DA3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а) абзац первый части 4 дополнить предложением следующего содержания:</w:t>
      </w:r>
    </w:p>
    <w:p w:rsidR="009226A3" w:rsidRDefault="00651DA3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«В случае проведения голосования, предусмотренного пунктом 17 статьи 64 и (или) пунктом 19 статьи 66 Федерального закона «Об основных гарантиях избирательных прав и права н</w:t>
      </w:r>
      <w:r>
        <w:rPr>
          <w:spacing w:val="-1"/>
          <w:sz w:val="28"/>
        </w:rPr>
        <w:t>а участие в референдуме граждан Российской Федерации», и (или) досрочного голосования, предусмотренного пунктом 17 статьи 65 Федерального закона «Об основных гарантиях избирательных прав и права на участие в референдуме граждан Российской Федерации», прото</w:t>
      </w:r>
      <w:r>
        <w:rPr>
          <w:spacing w:val="-1"/>
          <w:sz w:val="28"/>
        </w:rPr>
        <w:t>кол о результатах выборов, референдума, сводная таблица должны включать данные такого голосования.»;</w:t>
      </w:r>
    </w:p>
    <w:p w:rsidR="009226A3" w:rsidRDefault="00651DA3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б) дополнить частью 14 следующего содержания:</w:t>
      </w:r>
    </w:p>
    <w:p w:rsidR="009226A3" w:rsidRDefault="00651DA3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«14. В случае проведения голосования, предусмотренного пунктом 17 статьи 64 и (или) пунктом 19 статьи 66 Феде</w:t>
      </w:r>
      <w:r>
        <w:rPr>
          <w:spacing w:val="-1"/>
          <w:sz w:val="28"/>
        </w:rPr>
        <w:t>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статьи 65  Федерального закона «Об основных гарантиях избирательных прав и</w:t>
      </w:r>
      <w:r>
        <w:rPr>
          <w:spacing w:val="-1"/>
          <w:sz w:val="28"/>
        </w:rPr>
        <w:t xml:space="preserve"> права на участие в референдуме граждан Российской Федерации», особенности составления сводной таблицы и протокола об итогах голосования (о результатах референдума) вышестоящей комиссией с учетом данных об итогах голосования, предусмотренного пунктом 17 ст</w:t>
      </w:r>
      <w:r>
        <w:rPr>
          <w:spacing w:val="-1"/>
          <w:sz w:val="28"/>
        </w:rPr>
        <w:t>атьи 64 и (или) пунктом 19 статьи 66 Федерального закона «Об основных гарантиях избирательных прав и права на участие в референдуме граждан Российской Федерации», и (или) досрочного голосования, предусмотренного пунктом 17 статьи 65 Федерального закона «Об</w:t>
      </w:r>
      <w:r>
        <w:rPr>
          <w:spacing w:val="-1"/>
          <w:sz w:val="28"/>
        </w:rPr>
        <w:t xml:space="preserve"> основных гарантиях избирательных прав и права на участие в референдуме граждан Российской Федерации», устанавливаются Центральной избирательной комиссией Российской Федерации.».</w:t>
      </w:r>
    </w:p>
    <w:p w:rsidR="009226A3" w:rsidRDefault="009226A3">
      <w:pPr>
        <w:widowControl w:val="0"/>
        <w:ind w:firstLine="709"/>
        <w:jc w:val="both"/>
        <w:rPr>
          <w:b/>
          <w:spacing w:val="-1"/>
          <w:sz w:val="28"/>
        </w:rPr>
      </w:pPr>
    </w:p>
    <w:p w:rsidR="009226A3" w:rsidRDefault="00651DA3">
      <w:pPr>
        <w:widowControl w:val="0"/>
        <w:ind w:firstLine="709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 2</w:t>
      </w:r>
    </w:p>
    <w:p w:rsidR="009226A3" w:rsidRDefault="00651DA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со дня его официального опубликован</w:t>
      </w:r>
      <w:r>
        <w:rPr>
          <w:sz w:val="28"/>
        </w:rPr>
        <w:t>ия.</w:t>
      </w: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9226A3">
      <w:pPr>
        <w:widowControl w:val="0"/>
        <w:ind w:firstLine="709"/>
        <w:jc w:val="both"/>
        <w:rPr>
          <w:sz w:val="24"/>
        </w:rPr>
      </w:pPr>
    </w:p>
    <w:p w:rsidR="009226A3" w:rsidRDefault="00651DA3">
      <w:pPr>
        <w:widowControl w:val="0"/>
        <w:rPr>
          <w:sz w:val="28"/>
        </w:rPr>
      </w:pPr>
      <w:r>
        <w:rPr>
          <w:sz w:val="28"/>
        </w:rPr>
        <w:t>Губернатор Чукотского</w:t>
      </w:r>
    </w:p>
    <w:p w:rsidR="009226A3" w:rsidRDefault="00651DA3">
      <w:pPr>
        <w:widowControl w:val="0"/>
        <w:tabs>
          <w:tab w:val="left" w:pos="8098"/>
        </w:tabs>
        <w:rPr>
          <w:sz w:val="28"/>
        </w:rPr>
      </w:pPr>
      <w:r>
        <w:rPr>
          <w:spacing w:val="-6"/>
          <w:sz w:val="28"/>
        </w:rPr>
        <w:t>автономного округа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                </w:t>
      </w:r>
      <w:r>
        <w:rPr>
          <w:spacing w:val="-8"/>
          <w:sz w:val="28"/>
        </w:rPr>
        <w:t>В. Г. Кузнецов</w:t>
      </w:r>
    </w:p>
    <w:p w:rsidR="009226A3" w:rsidRDefault="009226A3">
      <w:pPr>
        <w:widowControl w:val="0"/>
        <w:rPr>
          <w:spacing w:val="-6"/>
          <w:sz w:val="24"/>
        </w:rPr>
      </w:pPr>
    </w:p>
    <w:p w:rsidR="009226A3" w:rsidRDefault="009226A3">
      <w:pPr>
        <w:widowControl w:val="0"/>
        <w:rPr>
          <w:spacing w:val="-6"/>
          <w:sz w:val="24"/>
        </w:rPr>
      </w:pPr>
    </w:p>
    <w:p w:rsidR="009226A3" w:rsidRDefault="00651DA3">
      <w:pPr>
        <w:widowControl w:val="0"/>
        <w:rPr>
          <w:spacing w:val="-6"/>
          <w:sz w:val="28"/>
        </w:rPr>
      </w:pPr>
      <w:r>
        <w:rPr>
          <w:spacing w:val="-6"/>
          <w:sz w:val="28"/>
        </w:rPr>
        <w:t>г. Анадырь</w:t>
      </w:r>
    </w:p>
    <w:p w:rsidR="009226A3" w:rsidRDefault="009226A3">
      <w:pPr>
        <w:widowControl w:val="0"/>
        <w:tabs>
          <w:tab w:val="left" w:leader="underscore" w:pos="446"/>
          <w:tab w:val="left" w:leader="underscore" w:pos="1805"/>
        </w:tabs>
        <w:rPr>
          <w:sz w:val="28"/>
        </w:rPr>
      </w:pPr>
    </w:p>
    <w:p w:rsidR="00AF58EF" w:rsidRDefault="00AF58EF" w:rsidP="00AF58EF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AF58EF" w:rsidRDefault="00AF58EF" w:rsidP="00AF58EF">
      <w:pPr>
        <w:rPr>
          <w:sz w:val="28"/>
        </w:rPr>
      </w:pPr>
    </w:p>
    <w:p w:rsidR="009226A3" w:rsidRDefault="00AF58EF" w:rsidP="00AF58EF">
      <w:pPr>
        <w:widowControl w:val="0"/>
        <w:rPr>
          <w:sz w:val="28"/>
        </w:rPr>
      </w:pPr>
      <w:proofErr w:type="gramStart"/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3</w:t>
      </w:r>
      <w:proofErr w:type="gramEnd"/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9226A3" w:rsidRDefault="009226A3"/>
    <w:p w:rsidR="009226A3" w:rsidRDefault="009226A3"/>
    <w:p w:rsidR="009226A3" w:rsidRDefault="009226A3">
      <w:pPr>
        <w:sectPr w:rsidR="009226A3">
          <w:headerReference w:type="default" r:id="rId7"/>
          <w:footerReference w:type="default" r:id="rId8"/>
          <w:headerReference w:type="first" r:id="rId9"/>
          <w:footerReference w:type="first" r:id="rId10"/>
          <w:pgSz w:w="11908" w:h="16848"/>
          <w:pgMar w:top="1134" w:right="850" w:bottom="1134" w:left="1417" w:header="709" w:footer="709" w:gutter="0"/>
          <w:cols w:space="720"/>
          <w:titlePg/>
        </w:sectPr>
      </w:pPr>
    </w:p>
    <w:p w:rsidR="00651DA3" w:rsidRDefault="00651DA3"/>
    <w:sectPr w:rsidR="00651DA3">
      <w:headerReference w:type="default" r:id="rId11"/>
      <w:footerReference w:type="default" r:id="rId12"/>
      <w:headerReference w:type="first" r:id="rId13"/>
      <w:footerReference w:type="first" r:id="rId14"/>
      <w:pgSz w:w="11908" w:h="16848"/>
      <w:pgMar w:top="1134" w:right="850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A3" w:rsidRDefault="00651DA3">
      <w:r>
        <w:separator/>
      </w:r>
    </w:p>
  </w:endnote>
  <w:endnote w:type="continuationSeparator" w:id="0">
    <w:p w:rsidR="00651DA3" w:rsidRDefault="006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"/>
      <w:jc w:val="center"/>
    </w:pPr>
  </w:p>
  <w:p w:rsidR="009226A3" w:rsidRDefault="009226A3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651DA3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9226A3" w:rsidRDefault="009226A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A3" w:rsidRDefault="00651DA3">
      <w:r>
        <w:separator/>
      </w:r>
    </w:p>
  </w:footnote>
  <w:footnote w:type="continuationSeparator" w:id="0">
    <w:p w:rsidR="00651DA3" w:rsidRDefault="0065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651DA3">
    <w:pPr>
      <w:pStyle w:val="Headerand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6A3" w:rsidRDefault="00651DA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2718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0;height:0;z-index:251657216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" filled="f" stroked="f">
              <v:textbox style="mso-fit-shape-to-text:t">
                <w:txbxContent>
                  <w:p w:rsidR="009226A3" w:rsidRDefault="00651DA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2718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1"/>
      <w:jc w:val="center"/>
    </w:pPr>
  </w:p>
  <w:p w:rsidR="009226A3" w:rsidRDefault="009226A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651DA3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6A3" w:rsidRDefault="00651DA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D94DA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" filled="f" stroked="f">
              <v:textbox style="mso-fit-shape-to-text:t">
                <w:txbxContent>
                  <w:p w:rsidR="009226A3" w:rsidRDefault="00651DA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D94DA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3" w:rsidRDefault="009226A3">
    <w:pPr>
      <w:pStyle w:val="af1"/>
      <w:jc w:val="center"/>
    </w:pPr>
  </w:p>
  <w:p w:rsidR="009226A3" w:rsidRDefault="009226A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3"/>
    <w:rsid w:val="00531312"/>
    <w:rsid w:val="00651DA3"/>
    <w:rsid w:val="009226A3"/>
    <w:rsid w:val="00927188"/>
    <w:rsid w:val="00AF58EF"/>
    <w:rsid w:val="00D94DA4"/>
    <w:rsid w:val="00E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47F"/>
  <w15:docId w15:val="{E17E942E-7F22-4264-9424-2944378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123"/>
      </w:tabs>
      <w:jc w:val="both"/>
      <w:outlineLvl w:val="0"/>
    </w:pPr>
    <w:rPr>
      <w:spacing w:val="-5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a9">
    <w:name w:val="annotation text"/>
    <w:basedOn w:val="a"/>
    <w:link w:val="aa"/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b">
    <w:name w:val="annotation subject"/>
    <w:basedOn w:val="a9"/>
    <w:next w:val="a9"/>
    <w:link w:val="ac"/>
    <w:rPr>
      <w:b/>
    </w:rPr>
  </w:style>
  <w:style w:type="character" w:customStyle="1" w:styleId="ac">
    <w:name w:val="Тема примечания Знак"/>
    <w:basedOn w:val="aa"/>
    <w:link w:val="ab"/>
    <w:rPr>
      <w:b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Noeeu1">
    <w:name w:val="Noeeu1"/>
    <w:basedOn w:val="a"/>
    <w:link w:val="Noeeu10"/>
    <w:pPr>
      <w:spacing w:after="120"/>
      <w:ind w:firstLine="851"/>
      <w:jc w:val="both"/>
    </w:pPr>
    <w:rPr>
      <w:sz w:val="24"/>
    </w:rPr>
  </w:style>
  <w:style w:type="character" w:customStyle="1" w:styleId="Noeeu10">
    <w:name w:val="Noeeu1"/>
    <w:basedOn w:val="1"/>
    <w:link w:val="Noeeu1"/>
    <w:rPr>
      <w:sz w:val="24"/>
    </w:rPr>
  </w:style>
  <w:style w:type="paragraph" w:customStyle="1" w:styleId="14-15">
    <w:name w:val="14-15"/>
    <w:basedOn w:val="a3"/>
    <w:link w:val="14-150"/>
    <w:pPr>
      <w:tabs>
        <w:tab w:val="left" w:pos="567"/>
      </w:tabs>
      <w:spacing w:after="0" w:line="360" w:lineRule="auto"/>
      <w:ind w:left="0" w:firstLine="709"/>
      <w:jc w:val="both"/>
    </w:pPr>
    <w:rPr>
      <w:sz w:val="28"/>
    </w:rPr>
  </w:style>
  <w:style w:type="character" w:customStyle="1" w:styleId="14-150">
    <w:name w:val="14-15"/>
    <w:basedOn w:val="a4"/>
    <w:link w:val="14-15"/>
    <w:rPr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-1">
    <w:name w:val="Т-1"/>
    <w:basedOn w:val="a"/>
    <w:link w:val="-10"/>
    <w:pPr>
      <w:spacing w:line="360" w:lineRule="auto"/>
      <w:ind w:firstLine="720"/>
      <w:jc w:val="both"/>
    </w:pPr>
    <w:rPr>
      <w:sz w:val="28"/>
    </w:rPr>
  </w:style>
  <w:style w:type="character" w:customStyle="1" w:styleId="-10">
    <w:name w:val="Т-1"/>
    <w:basedOn w:val="1"/>
    <w:link w:val="-1"/>
    <w:rPr>
      <w:sz w:val="28"/>
    </w:rPr>
  </w:style>
  <w:style w:type="paragraph" w:customStyle="1" w:styleId="ad">
    <w:link w:val="ae"/>
    <w:semiHidden/>
    <w:unhideWhenUsed/>
    <w:rPr>
      <w:sz w:val="20"/>
    </w:rPr>
  </w:style>
  <w:style w:type="character" w:customStyle="1" w:styleId="ae">
    <w:link w:val="ad"/>
    <w:semiHidden/>
    <w:unhideWhenUsed/>
    <w:rPr>
      <w:sz w:val="20"/>
    </w:rPr>
  </w:style>
  <w:style w:type="paragraph" w:customStyle="1" w:styleId="Oaeno14-15">
    <w:name w:val="Oaeno14-15"/>
    <w:basedOn w:val="a"/>
    <w:link w:val="Oaeno14-150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Oaeno14-150">
    <w:name w:val="Oaeno14-15"/>
    <w:basedOn w:val="1"/>
    <w:link w:val="Oaeno14-15"/>
    <w:rPr>
      <w:sz w:val="28"/>
    </w:rPr>
  </w:style>
  <w:style w:type="paragraph" w:styleId="af">
    <w:name w:val="footer"/>
    <w:basedOn w:val="a"/>
    <w:link w:val="af0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1"/>
    <w:link w:val="af1"/>
    <w:rPr>
      <w:sz w:val="20"/>
    </w:rPr>
  </w:style>
  <w:style w:type="paragraph" w:customStyle="1" w:styleId="af3">
    <w:name w:val="Информация об изменениях документа"/>
    <w:basedOn w:val="af4"/>
    <w:next w:val="a"/>
    <w:link w:val="af5"/>
    <w:rPr>
      <w:i/>
    </w:rPr>
  </w:style>
  <w:style w:type="character" w:customStyle="1" w:styleId="af5">
    <w:name w:val="Информация об изменениях документа"/>
    <w:basedOn w:val="af6"/>
    <w:link w:val="af3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af7">
    <w:name w:val="Body Text"/>
    <w:basedOn w:val="a"/>
    <w:link w:val="af8"/>
    <w:pPr>
      <w:jc w:val="both"/>
    </w:pPr>
    <w:rPr>
      <w:sz w:val="28"/>
    </w:rPr>
  </w:style>
  <w:style w:type="character" w:customStyle="1" w:styleId="af8">
    <w:name w:val="Основной текст Знак"/>
    <w:basedOn w:val="1"/>
    <w:link w:val="af7"/>
    <w:rPr>
      <w:sz w:val="28"/>
    </w:rPr>
  </w:style>
  <w:style w:type="paragraph" w:customStyle="1" w:styleId="caaieiaie4">
    <w:name w:val="caaieiaie 4"/>
    <w:basedOn w:val="a"/>
    <w:next w:val="a"/>
    <w:link w:val="caaieiaie40"/>
    <w:pPr>
      <w:keepNext/>
      <w:widowControl w:val="0"/>
      <w:spacing w:before="360" w:line="360" w:lineRule="auto"/>
      <w:jc w:val="center"/>
    </w:pPr>
    <w:rPr>
      <w:b/>
      <w:sz w:val="26"/>
    </w:rPr>
  </w:style>
  <w:style w:type="character" w:customStyle="1" w:styleId="caaieiaie40">
    <w:name w:val="caaieiaie 4"/>
    <w:basedOn w:val="1"/>
    <w:link w:val="caaieiaie4"/>
    <w:rPr>
      <w:b/>
      <w:sz w:val="26"/>
    </w:rPr>
  </w:style>
  <w:style w:type="paragraph" w:customStyle="1" w:styleId="16">
    <w:name w:val="Номер страницы1"/>
    <w:basedOn w:val="17"/>
    <w:link w:val="af9"/>
  </w:style>
  <w:style w:type="character" w:styleId="af9">
    <w:name w:val="page number"/>
    <w:basedOn w:val="a0"/>
    <w:link w:val="16"/>
  </w:style>
  <w:style w:type="paragraph" w:customStyle="1" w:styleId="18">
    <w:name w:val="Знак сноски1"/>
    <w:basedOn w:val="17"/>
    <w:link w:val="afa"/>
    <w:rPr>
      <w:vertAlign w:val="superscript"/>
    </w:rPr>
  </w:style>
  <w:style w:type="character" w:styleId="afa">
    <w:name w:val="footnote reference"/>
    <w:basedOn w:val="a0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Основной шрифт абзаца1"/>
    <w:link w:val="210"/>
  </w:style>
  <w:style w:type="paragraph" w:customStyle="1" w:styleId="210">
    <w:name w:val="Основной текст 21"/>
    <w:basedOn w:val="a"/>
    <w:link w:val="211"/>
    <w:pPr>
      <w:ind w:left="708" w:firstLine="708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character" w:customStyle="1" w:styleId="11">
    <w:name w:val="Заголовок 1 Знак"/>
    <w:basedOn w:val="1"/>
    <w:link w:val="10"/>
    <w:rPr>
      <w:color w:val="000000"/>
      <w:spacing w:val="-5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fb">
    <w:name w:val="Гипертекстовая ссылка"/>
    <w:link w:val="afc"/>
    <w:rPr>
      <w:color w:val="008000"/>
    </w:rPr>
  </w:style>
  <w:style w:type="character" w:customStyle="1" w:styleId="afc">
    <w:name w:val="Гипертекстовая ссылка"/>
    <w:link w:val="afb"/>
    <w:rPr>
      <w:color w:val="008000"/>
    </w:rPr>
  </w:style>
  <w:style w:type="paragraph" w:customStyle="1" w:styleId="23">
    <w:name w:val="Гиперссылка2"/>
    <w:basedOn w:val="17"/>
    <w:link w:val="afd"/>
    <w:rPr>
      <w:color w:val="0000FF"/>
      <w:u w:val="single"/>
    </w:rPr>
  </w:style>
  <w:style w:type="character" w:styleId="afd">
    <w:name w:val="Hyperlink"/>
    <w:basedOn w:val="a0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firstLine="720"/>
    </w:p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e">
    <w:name w:val="Прижатый влево"/>
    <w:basedOn w:val="a"/>
    <w:next w:val="a"/>
    <w:link w:val="aff"/>
    <w:rPr>
      <w:rFonts w:ascii="Arial" w:hAnsi="Arial"/>
      <w:sz w:val="24"/>
    </w:rPr>
  </w:style>
  <w:style w:type="character" w:customStyle="1" w:styleId="aff">
    <w:name w:val="Прижатый влево"/>
    <w:basedOn w:val="1"/>
    <w:link w:val="afe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14-1512-1">
    <w:name w:val="Текст 14-1.5.Стиль12-1"/>
    <w:basedOn w:val="a"/>
    <w:link w:val="14-1512-10"/>
    <w:pPr>
      <w:spacing w:line="360" w:lineRule="auto"/>
      <w:ind w:firstLine="709"/>
      <w:jc w:val="both"/>
    </w:pPr>
    <w:rPr>
      <w:sz w:val="24"/>
    </w:rPr>
  </w:style>
  <w:style w:type="character" w:customStyle="1" w:styleId="14-1512-10">
    <w:name w:val="Текст 14-1.5.Стиль12-1"/>
    <w:basedOn w:val="1"/>
    <w:link w:val="14-1512-1"/>
    <w:rPr>
      <w:sz w:val="24"/>
    </w:rPr>
  </w:style>
  <w:style w:type="paragraph" w:customStyle="1" w:styleId="aff2">
    <w:name w:val="Цветовое выделение"/>
    <w:link w:val="aff3"/>
    <w:rPr>
      <w:b/>
      <w:color w:val="000080"/>
    </w:rPr>
  </w:style>
  <w:style w:type="character" w:customStyle="1" w:styleId="aff3">
    <w:name w:val="Цветовое выделение"/>
    <w:link w:val="aff2"/>
    <w:rPr>
      <w:b/>
      <w:color w:val="000080"/>
    </w:rPr>
  </w:style>
  <w:style w:type="paragraph" w:customStyle="1" w:styleId="consnormal1">
    <w:name w:val="consnormal"/>
    <w:basedOn w:val="a"/>
    <w:link w:val="consnormal2"/>
    <w:pPr>
      <w:ind w:firstLine="720"/>
    </w:pPr>
    <w:rPr>
      <w:rFonts w:ascii="Consultant" w:hAnsi="Consultant"/>
      <w:sz w:val="24"/>
    </w:rPr>
  </w:style>
  <w:style w:type="character" w:customStyle="1" w:styleId="consnormal2">
    <w:name w:val="consnormal"/>
    <w:basedOn w:val="1"/>
    <w:link w:val="consnormal1"/>
    <w:rPr>
      <w:rFonts w:ascii="Consultant" w:hAnsi="Consultant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4">
    <w:name w:val="Комментарий"/>
    <w:basedOn w:val="a"/>
    <w:next w:val="a"/>
    <w:link w:val="af6"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6">
    <w:name w:val="Комментарий"/>
    <w:basedOn w:val="1"/>
    <w:link w:val="af4"/>
    <w:rPr>
      <w:rFonts w:ascii="Arial" w:hAnsi="Arial"/>
      <w:color w:val="353842"/>
      <w:sz w:val="24"/>
      <w:shd w:val="clear" w:color="auto" w:fill="F0F0F0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styleId="aff6">
    <w:name w:val="Normal (Web)"/>
    <w:basedOn w:val="a"/>
    <w:link w:val="aff7"/>
    <w:pPr>
      <w:spacing w:beforeAutospacing="1" w:afterAutospacing="1"/>
    </w:pPr>
    <w:rPr>
      <w:color w:val="00FFFF"/>
      <w:sz w:val="24"/>
    </w:rPr>
  </w:style>
  <w:style w:type="character" w:customStyle="1" w:styleId="aff7">
    <w:name w:val="Обычный (веб) Знак"/>
    <w:basedOn w:val="1"/>
    <w:link w:val="aff6"/>
    <w:rPr>
      <w:color w:val="00FFFF"/>
      <w:sz w:val="24"/>
    </w:rPr>
  </w:style>
  <w:style w:type="paragraph" w:customStyle="1" w:styleId="1b">
    <w:name w:val="1"/>
    <w:basedOn w:val="a"/>
    <w:next w:val="aff6"/>
    <w:link w:val="1c"/>
    <w:pPr>
      <w:spacing w:beforeAutospacing="1" w:afterAutospacing="1"/>
    </w:pPr>
    <w:rPr>
      <w:color w:val="00FFFF"/>
      <w:sz w:val="24"/>
    </w:rPr>
  </w:style>
  <w:style w:type="character" w:customStyle="1" w:styleId="1c">
    <w:name w:val="1"/>
    <w:basedOn w:val="1"/>
    <w:link w:val="1b"/>
    <w:rPr>
      <w:color w:val="00FFFF"/>
      <w:sz w:val="24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Знак примечания1"/>
    <w:basedOn w:val="17"/>
    <w:link w:val="affa"/>
    <w:rPr>
      <w:sz w:val="16"/>
    </w:rPr>
  </w:style>
  <w:style w:type="character" w:styleId="affa">
    <w:name w:val="annotation reference"/>
    <w:basedOn w:val="a0"/>
    <w:link w:val="1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Чепурнова Оксана Валерьевна</dc:creator>
  <cp:lastModifiedBy>Чепурнова Оксана Валерьевна</cp:lastModifiedBy>
  <cp:revision>2</cp:revision>
  <cp:lastPrinted>2025-03-10T05:25:00Z</cp:lastPrinted>
  <dcterms:created xsi:type="dcterms:W3CDTF">2025-03-10T05:31:00Z</dcterms:created>
  <dcterms:modified xsi:type="dcterms:W3CDTF">2025-03-10T05:31:00Z</dcterms:modified>
</cp:coreProperties>
</file>