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EB" w:rsidRDefault="006F54EB">
      <w:pPr>
        <w:pStyle w:val="NormalWeb1"/>
        <w:spacing w:after="0"/>
        <w:jc w:val="right"/>
        <w:rPr>
          <w:b/>
        </w:rPr>
      </w:pPr>
    </w:p>
    <w:p w:rsidR="006F54EB" w:rsidRDefault="00484FE3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733425" cy="9239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4EB" w:rsidRDefault="006F54EB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</w:rPr>
      </w:pPr>
    </w:p>
    <w:p w:rsidR="006F54EB" w:rsidRDefault="00484FE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6F54EB" w:rsidRDefault="006F5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4EB" w:rsidRDefault="00484FE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6F54EB" w:rsidRDefault="006F5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4EB" w:rsidRDefault="00484F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6F54EB" w:rsidRDefault="006F5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4EB" w:rsidRDefault="00484F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</w:t>
      </w:r>
      <w:r>
        <w:rPr>
          <w:rFonts w:ascii="Times New Roman" w:hAnsi="Times New Roman"/>
          <w:b/>
          <w:sz w:val="28"/>
        </w:rPr>
        <w:t>енений в статьи 6 и 6.2 Закона Чукотского автономного округа «О государственном регулировании рознич</w:t>
      </w:r>
      <w:r>
        <w:rPr>
          <w:rFonts w:ascii="Times New Roman" w:hAnsi="Times New Roman"/>
          <w:b/>
          <w:sz w:val="28"/>
        </w:rPr>
        <w:t xml:space="preserve">ной продажи алкогольной и спиртосодержащей продукции на территории </w:t>
      </w:r>
    </w:p>
    <w:p w:rsidR="006F54EB" w:rsidRDefault="00484F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Чукотского </w:t>
      </w:r>
      <w:r>
        <w:rPr>
          <w:rFonts w:ascii="Times New Roman" w:hAnsi="Times New Roman"/>
          <w:b/>
          <w:sz w:val="28"/>
        </w:rPr>
        <w:t>автономного округа»</w:t>
      </w:r>
    </w:p>
    <w:p w:rsidR="006F54EB" w:rsidRDefault="006F54E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54EB" w:rsidRDefault="00484FE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6F54EB" w:rsidRDefault="00484FE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6F54EB" w:rsidRDefault="00484FE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мая 2025 года</w:t>
      </w:r>
    </w:p>
    <w:p w:rsidR="006F54EB" w:rsidRDefault="006F54EB">
      <w:pPr>
        <w:widowControl w:val="0"/>
        <w:spacing w:after="0" w:line="240" w:lineRule="auto"/>
        <w:ind w:firstLine="902"/>
        <w:jc w:val="both"/>
        <w:rPr>
          <w:rFonts w:ascii="Times New Roman" w:hAnsi="Times New Roman"/>
          <w:b/>
          <w:sz w:val="28"/>
        </w:rPr>
      </w:pPr>
    </w:p>
    <w:p w:rsidR="006F54EB" w:rsidRDefault="006F54EB">
      <w:pPr>
        <w:widowControl w:val="0"/>
        <w:spacing w:after="0" w:line="240" w:lineRule="auto"/>
        <w:ind w:firstLine="902"/>
        <w:jc w:val="both"/>
        <w:rPr>
          <w:rFonts w:ascii="Times New Roman" w:hAnsi="Times New Roman"/>
          <w:b/>
          <w:sz w:val="28"/>
        </w:rPr>
      </w:pPr>
    </w:p>
    <w:p w:rsidR="006F54EB" w:rsidRDefault="00484FE3">
      <w:pPr>
        <w:widowControl w:val="0"/>
        <w:spacing w:after="0" w:line="240" w:lineRule="auto"/>
        <w:ind w:right="-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6F54EB" w:rsidRDefault="006F54EB">
      <w:pPr>
        <w:widowControl w:val="0"/>
        <w:spacing w:after="0" w:line="240" w:lineRule="auto"/>
        <w:ind w:right="-360" w:firstLine="709"/>
        <w:jc w:val="both"/>
        <w:rPr>
          <w:rFonts w:ascii="Times New Roman" w:hAnsi="Times New Roman"/>
          <w:sz w:val="28"/>
        </w:rPr>
      </w:pPr>
    </w:p>
    <w:p w:rsidR="006F54EB" w:rsidRDefault="00484F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hyperlink r:id="rId7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Чукотского автономного округа от 15 февраля 2010 года № 06-ОЗ «О государственном регулировании розничной продажи алкогольной и спиртосодержащей продукции на территории Чукотского автономного округа» («Ведомости» № 6 (436) – приложение к газете «Крайний Сев</w:t>
      </w:r>
      <w:r>
        <w:rPr>
          <w:rFonts w:ascii="Times New Roman" w:hAnsi="Times New Roman"/>
          <w:sz w:val="28"/>
        </w:rPr>
        <w:t xml:space="preserve">ер» </w:t>
      </w:r>
      <w:r>
        <w:rPr>
          <w:rFonts w:ascii="Times New Roman" w:hAnsi="Times New Roman"/>
          <w:sz w:val="28"/>
        </w:rPr>
        <w:br/>
        <w:t>№ 6 (1712) от 19.02.2010 г., «Ведомости» № 37 (518) - приложение к газете «Крайний Север» № 38 (1795) от 30.09.2011 г., «Ведомости» № 48 (734) – приложение к газете «Крайний Север» № 48 (2010) от 11.12.2015 г., «Ведомости» № 42 (830) – приложение к га</w:t>
      </w:r>
      <w:r>
        <w:rPr>
          <w:rFonts w:ascii="Times New Roman" w:hAnsi="Times New Roman"/>
          <w:sz w:val="28"/>
        </w:rPr>
        <w:t>зете «Крайний Север» № 42 (2106) от 27.10.2017</w:t>
      </w:r>
      <w:r>
        <w:rPr>
          <w:rFonts w:ascii="Times New Roman" w:hAnsi="Times New Roman"/>
          <w:sz w:val="28"/>
        </w:rPr>
        <w:t xml:space="preserve"> г., «Ведомости» № 18 (857) - приложение к газете </w:t>
      </w:r>
      <w:r>
        <w:rPr>
          <w:rFonts w:ascii="Times New Roman" w:hAnsi="Times New Roman"/>
          <w:sz w:val="28"/>
        </w:rPr>
        <w:br/>
        <w:t>«Крайний Север» № 18 (2133) от 11.05.2018 г., «Ведомости» № 11 (952) – приложение к газете «Крайний Север» № 11 (2228) от 20.03.2020 г., «Ведомости» № 49 (1042</w:t>
      </w:r>
      <w:r>
        <w:rPr>
          <w:rFonts w:ascii="Times New Roman" w:hAnsi="Times New Roman"/>
          <w:sz w:val="28"/>
        </w:rPr>
        <w:t xml:space="preserve">) – приложение к газете «Крайний Север» № 49 (2318) от 17.12.2021 г., «Ведомости» № 21/2 (1065/2) – приложение к газете </w:t>
      </w:r>
      <w:r>
        <w:rPr>
          <w:rFonts w:ascii="Times New Roman" w:hAnsi="Times New Roman"/>
          <w:sz w:val="28"/>
        </w:rPr>
        <w:br/>
        <w:t>«Крайний Север» № 21 (2341) от 03.06.2022 г., «Ведомости» № 22/2 (1117/2) – приложение к газете «Крайний Север» № 22 (2393) от 09.06.20</w:t>
      </w:r>
      <w:r>
        <w:rPr>
          <w:rFonts w:ascii="Times New Roman" w:hAnsi="Times New Roman"/>
          <w:sz w:val="28"/>
        </w:rPr>
        <w:t xml:space="preserve">23 г., «Ведомости» № 25/1 (1171/1) – приложение к газете «Крайний Север» </w:t>
      </w:r>
      <w:r>
        <w:rPr>
          <w:rFonts w:ascii="Times New Roman" w:hAnsi="Times New Roman"/>
          <w:sz w:val="28"/>
        </w:rPr>
        <w:br/>
        <w:t>№ 25 (2447) от 28.06.2024 г., «Ведомости» № 15/1 (1212/1) – приложение к газете «Крайний Север» № 15 (2488) от 18.04.2025 г.) след</w:t>
      </w:r>
      <w:r>
        <w:rPr>
          <w:rFonts w:ascii="Times New Roman" w:hAnsi="Times New Roman"/>
          <w:sz w:val="28"/>
        </w:rPr>
        <w:t>ующие изменения:</w:t>
      </w:r>
    </w:p>
    <w:p w:rsidR="006F54EB" w:rsidRDefault="006F54EB">
      <w:pPr>
        <w:pStyle w:val="ListParagraph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F54EB" w:rsidRDefault="00484FE3">
      <w:pPr>
        <w:pStyle w:val="ListParagraph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часть 2 статьи 6 изложить в сле</w:t>
      </w:r>
      <w:r>
        <w:rPr>
          <w:rFonts w:ascii="Times New Roman" w:hAnsi="Times New Roman"/>
          <w:sz w:val="28"/>
        </w:rPr>
        <w:t xml:space="preserve">дующей редакции: 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</w:t>
      </w:r>
      <w:r>
        <w:rPr>
          <w:rFonts w:ascii="Times New Roman" w:hAnsi="Times New Roman"/>
          <w:sz w:val="28"/>
        </w:rPr>
        <w:t>у алкогольной продукции, за исключением розничной продажи алкогольной продукции при оказании услуг общественного питания (далее - дополнительные ограничения), на территориях отдельных населенных пунктов Чукотского автономного округа устанавливаются путём в</w:t>
      </w:r>
      <w:r>
        <w:rPr>
          <w:rFonts w:ascii="Times New Roman" w:hAnsi="Times New Roman"/>
          <w:sz w:val="28"/>
        </w:rPr>
        <w:t xml:space="preserve">несения изменений в настоящий Закон на основании обращений представительных органов муниципальных районов, муниципальных округов и городского округа Чукотского автономного округа (далее – муниципальные образования), в состав которых входят соответствующие </w:t>
      </w:r>
      <w:r>
        <w:rPr>
          <w:rFonts w:ascii="Times New Roman" w:hAnsi="Times New Roman"/>
          <w:sz w:val="28"/>
        </w:rPr>
        <w:t>населенные пункты.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представительных органов муниципальных образований направляются в Правительство Чукотского автономного округа и должны содержать в качестве приложений следующие документы: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целях дополнительных ограничений времени, условий </w:t>
      </w:r>
      <w:r>
        <w:rPr>
          <w:rFonts w:ascii="Times New Roman" w:hAnsi="Times New Roman"/>
          <w:sz w:val="28"/>
        </w:rPr>
        <w:t>и мест розничной продажи алкогольной продукции, за исключением розничной продажи алкогольной продукции при оказании услуг общественного питания: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представительного органа муниципального образования о направлении в Правительство Чукотского автономног</w:t>
      </w:r>
      <w:r>
        <w:rPr>
          <w:rFonts w:ascii="Times New Roman" w:hAnsi="Times New Roman"/>
          <w:sz w:val="28"/>
        </w:rPr>
        <w:t>о округа обращения об установлении дополнительных ограничений, с мотивированным обоснованием необходимости их установления;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целях полного запрета на розничную продажу алкогольной продукции, за исключением розничной продажи алкогольной продукции при ок</w:t>
      </w:r>
      <w:r>
        <w:rPr>
          <w:rFonts w:ascii="Times New Roman" w:hAnsi="Times New Roman"/>
          <w:sz w:val="28"/>
        </w:rPr>
        <w:t>азании услуг общественного питания: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представительного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ограничений, с мотивированным обоснованием необходимости их</w:t>
      </w:r>
      <w:r>
        <w:rPr>
          <w:rFonts w:ascii="Times New Roman" w:hAnsi="Times New Roman"/>
          <w:sz w:val="28"/>
        </w:rPr>
        <w:t xml:space="preserve"> установления;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выявления мнения населения соответствующего населенного пункта по вопросу установления полного запрета на розничную продажу алкогольной продукции, за исключением розничной продажи алкогольной продукции при оказании услуг обществен</w:t>
      </w:r>
      <w:r>
        <w:rPr>
          <w:rFonts w:ascii="Times New Roman" w:hAnsi="Times New Roman"/>
          <w:sz w:val="28"/>
        </w:rPr>
        <w:t>ного питания, на соответствующей территории;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мнения населения соответствующего населенного пункта по вопросу установления полного запрета на розничную продажу алкогольной продукции, за исключением розничной продажи алкогольной продукции при </w:t>
      </w:r>
      <w:r>
        <w:rPr>
          <w:rFonts w:ascii="Times New Roman" w:hAnsi="Times New Roman"/>
          <w:sz w:val="28"/>
        </w:rPr>
        <w:t>оказании услуг общественного питания, на территориях муниципальных образований, отдельных населенных пунктов муниципальных образований Чукотского автономного округа, осуществляется в порядке, установленном уставом муниципального образования и (или) нормати</w:t>
      </w:r>
      <w:r>
        <w:rPr>
          <w:rFonts w:ascii="Times New Roman" w:hAnsi="Times New Roman"/>
          <w:sz w:val="28"/>
        </w:rPr>
        <w:t>вными правовыми актами представительного органа муниципального образования, в котором устанавливается полный запрет на розничную продажу алкогольной продукции, за исключением р</w:t>
      </w:r>
      <w:r>
        <w:rPr>
          <w:rFonts w:ascii="Times New Roman" w:hAnsi="Times New Roman"/>
          <w:sz w:val="28"/>
        </w:rPr>
        <w:t>озничной продажи алкогольной продукции при оказании услуг общественного питания.</w:t>
      </w:r>
      <w:r>
        <w:rPr>
          <w:rFonts w:ascii="Times New Roman" w:hAnsi="Times New Roman"/>
          <w:sz w:val="28"/>
        </w:rPr>
        <w:t>»;</w:t>
      </w:r>
    </w:p>
    <w:p w:rsidR="006F54EB" w:rsidRDefault="006F54EB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статью 6.2 изложить в следующей редакции: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«Статья 6.2.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времени розничной продажи алкогольной продукции при оказании услуг общественного питани</w:t>
      </w:r>
      <w:r>
        <w:rPr>
          <w:rFonts w:ascii="Times New Roman" w:hAnsi="Times New Roman"/>
          <w:sz w:val="28"/>
        </w:rPr>
        <w:t>я в объектах общественного питания (за исключением ресторанов), расположенных в многоквартирных</w:t>
      </w:r>
      <w:r>
        <w:rPr>
          <w:rFonts w:ascii="Times New Roman" w:hAnsi="Times New Roman"/>
          <w:sz w:val="28"/>
        </w:rPr>
        <w:t xml:space="preserve"> домах и (или) на прилегающих к ним территориях отдельных населенных пунктов муниципальных образований, устанавливается путём внесения изменений в настоящий Закон на основании обращений представительных органов муниципальных образований Чукотского автономн</w:t>
      </w:r>
      <w:r>
        <w:rPr>
          <w:rFonts w:ascii="Times New Roman" w:hAnsi="Times New Roman"/>
          <w:sz w:val="28"/>
        </w:rPr>
        <w:t>ого округа, в состав которых входят соответствующие населенные пункты.</w:t>
      </w:r>
    </w:p>
    <w:p w:rsidR="006F54EB" w:rsidRDefault="00484FE3">
      <w:pPr>
        <w:pStyle w:val="ListParagraph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представительных органов муниципальных образований направляются в Правительство Чукотского автономного округа и должны содержать в качестве приложений решение представительног</w:t>
      </w:r>
      <w:r>
        <w:rPr>
          <w:rFonts w:ascii="Times New Roman" w:hAnsi="Times New Roman"/>
          <w:sz w:val="28"/>
        </w:rPr>
        <w:t>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ограничений, с мотивированным обоснованием необходимости установления таких ограничений.».</w:t>
      </w:r>
    </w:p>
    <w:p w:rsidR="006F54EB" w:rsidRDefault="006F54EB">
      <w:pPr>
        <w:pStyle w:val="ListParagraph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</w:p>
    <w:p w:rsidR="006F54EB" w:rsidRDefault="00484F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6F54EB" w:rsidRDefault="006F54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6F54EB" w:rsidRDefault="00484F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</w:t>
      </w:r>
      <w:r>
        <w:rPr>
          <w:rFonts w:ascii="Times New Roman" w:hAnsi="Times New Roman"/>
          <w:sz w:val="28"/>
        </w:rPr>
        <w:t>вступает в силу со дня его официального опубликования.</w:t>
      </w: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F54EB" w:rsidRDefault="00484FE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6F54EB" w:rsidRDefault="00484FE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В.Г. Кузнецов</w:t>
      </w: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6F54EB" w:rsidRDefault="00484FE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6F54EB" w:rsidRDefault="006F54EB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484FE3" w:rsidRDefault="00484FE3" w:rsidP="00484FE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2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июня </w:t>
      </w:r>
      <w:r>
        <w:rPr>
          <w:rFonts w:ascii="Times New Roman" w:hAnsi="Times New Roman"/>
          <w:sz w:val="28"/>
        </w:rPr>
        <w:t xml:space="preserve"> 2025 года</w:t>
      </w:r>
    </w:p>
    <w:p w:rsidR="00484FE3" w:rsidRDefault="00484FE3" w:rsidP="00484FE3">
      <w:pPr>
        <w:spacing w:after="0" w:line="240" w:lineRule="auto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484FE3" w:rsidRDefault="00484FE3" w:rsidP="00484FE3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38 </w:t>
      </w:r>
      <w:r>
        <w:rPr>
          <w:rFonts w:ascii="Times New Roman" w:hAnsi="Times New Roman"/>
          <w:sz w:val="28"/>
        </w:rPr>
        <w:t xml:space="preserve"> - ОЗ</w:t>
      </w:r>
    </w:p>
    <w:p w:rsidR="00484FE3" w:rsidRDefault="00484FE3" w:rsidP="00484FE3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6F54EB" w:rsidRDefault="006F54EB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sectPr w:rsidR="006F54EB">
      <w:headerReference w:type="even" r:id="rId8"/>
      <w:headerReference w:type="default" r:id="rId9"/>
      <w:headerReference w:type="first" r:id="rId10"/>
      <w:pgSz w:w="11906" w:h="16838"/>
      <w:pgMar w:top="1134" w:right="850" w:bottom="1134" w:left="1417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4FE3">
      <w:pPr>
        <w:spacing w:after="0" w:line="240" w:lineRule="auto"/>
      </w:pPr>
      <w:r>
        <w:separator/>
      </w:r>
    </w:p>
  </w:endnote>
  <w:endnote w:type="continuationSeparator" w:id="0">
    <w:p w:rsidR="00000000" w:rsidRDefault="0048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4FE3">
      <w:pPr>
        <w:spacing w:after="0" w:line="240" w:lineRule="auto"/>
      </w:pPr>
      <w:r>
        <w:separator/>
      </w:r>
    </w:p>
  </w:footnote>
  <w:footnote w:type="continuationSeparator" w:id="0">
    <w:p w:rsidR="00000000" w:rsidRDefault="0048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EB" w:rsidRDefault="006F54E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EB" w:rsidRDefault="00484FE3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6098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61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54EB" w:rsidRDefault="00484FE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20.55pt;z-index:-503316475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" o:allowincell="f" filled="f" stroked="f" strokeweight="0">
              <v:textbox style="mso-fit-shape-to-text:t">
                <w:txbxContent>
                  <w:p w:rsidR="006F54EB" w:rsidRDefault="00484FE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EB" w:rsidRDefault="006F54E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EB"/>
    <w:rsid w:val="00484FE3"/>
    <w:rsid w:val="006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45B7-78F0-40EE-A9A2-6638C747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Обычный (веб)1"/>
    <w:link w:val="NormalWeb1"/>
    <w:qFormat/>
    <w:rPr>
      <w:rFonts w:ascii="Times New Roman" w:hAnsi="Times New Roman"/>
      <w:sz w:val="24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1"/>
    <w:qFormat/>
    <w:rPr>
      <w:rFonts w:ascii="Calibri" w:hAnsi="Calibri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ConsPlusTitle">
    <w:name w:val="ConsPlusTitle"/>
    <w:link w:val="ConsPlusTitle1"/>
    <w:qFormat/>
    <w:rPr>
      <w:rFonts w:ascii="Calibri" w:hAnsi="Calibri"/>
      <w:b/>
    </w:rPr>
  </w:style>
  <w:style w:type="character" w:customStyle="1" w:styleId="Marginalia">
    <w:name w:val="Marginalia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Footer1">
    <w:name w:val="Footer1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a4">
    <w:name w:val="Цветовое выделение для Текст"/>
    <w:link w:val="12"/>
    <w:qFormat/>
    <w:rPr>
      <w:rFonts w:ascii="Times New Roman CYR" w:hAnsi="Times New Roman CYR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Основной текст (2)"/>
    <w:link w:val="21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0"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13">
    <w:name w:val="Абзац списка1"/>
    <w:link w:val="ListParagraph1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14">
    <w:name w:val="Без интервала1"/>
    <w:link w:val="NoSpacing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Header1">
    <w:name w:val="Header1"/>
    <w:qFormat/>
    <w:rPr>
      <w:rFonts w:ascii="Arial" w:hAnsi="Arial"/>
      <w:sz w:val="24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2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NormalWeb1">
    <w:name w:val="Normal (Web)1"/>
    <w:basedOn w:val="a"/>
    <w:link w:val="1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Endnote1">
    <w:name w:val="Endnote1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ConsPlusNormal1">
    <w:name w:val="ConsPlusNormal1"/>
    <w:link w:val="ConsPlusNormal"/>
    <w:qFormat/>
    <w:pPr>
      <w:widowControl w:val="0"/>
    </w:p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</w:rPr>
  </w:style>
  <w:style w:type="paragraph" w:styleId="ab">
    <w:name w:val="annotation text"/>
    <w:basedOn w:val="a"/>
    <w:pPr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customStyle="1" w:styleId="HeaderandFooter1">
    <w:name w:val="Header and Footer1"/>
    <w:link w:val="HeaderandFooter"/>
    <w:qFormat/>
    <w:pPr>
      <w:spacing w:after="160"/>
      <w:jc w:val="both"/>
    </w:pPr>
    <w:rPr>
      <w:rFonts w:ascii="XO Thames" w:hAnsi="XO Thames"/>
      <w:sz w:val="28"/>
    </w:r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Цветовое выделение для Текст1"/>
    <w:link w:val="a4"/>
    <w:qFormat/>
    <w:pPr>
      <w:spacing w:after="160" w:line="264" w:lineRule="auto"/>
    </w:pPr>
    <w:rPr>
      <w:rFonts w:ascii="Times New Roman CYR" w:hAnsi="Times New Roman CYR"/>
    </w:rPr>
  </w:style>
  <w:style w:type="paragraph" w:customStyle="1" w:styleId="Internetlink">
    <w:name w:val="Internet link"/>
    <w:basedOn w:val="DefaultParagraphFont1"/>
    <w:qFormat/>
    <w:rPr>
      <w:color w:val="0563C1" w:themeColor="hyperlink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21">
    <w:name w:val="Основной текст (2)1"/>
    <w:link w:val="20"/>
    <w:qFormat/>
    <w:pPr>
      <w:spacing w:after="160" w:line="264" w:lineRule="auto"/>
    </w:pPr>
    <w:rPr>
      <w:rFonts w:ascii="Times New Roman" w:hAnsi="Times New Roman"/>
      <w:sz w:val="26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ListParagraph1">
    <w:name w:val="List Paragraph1"/>
    <w:basedOn w:val="a"/>
    <w:link w:val="13"/>
    <w:qFormat/>
    <w:pPr>
      <w:ind w:left="720"/>
      <w:contextualSpacing/>
    </w:pPr>
  </w:style>
  <w:style w:type="paragraph" w:customStyle="1" w:styleId="NoSpacing1">
    <w:name w:val="No Spacing1"/>
    <w:link w:val="14"/>
    <w:qFormat/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915D3DD749BCF0BA913CAF1453634FD9EF820ABB5F049F70B26888A1ECBEeF40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2025-05-21T10:06:00Z</cp:lastPrinted>
  <dcterms:created xsi:type="dcterms:W3CDTF">2025-06-02T05:53:00Z</dcterms:created>
  <dcterms:modified xsi:type="dcterms:W3CDTF">2025-06-02T05:53:00Z</dcterms:modified>
  <dc:language>ru-RU</dc:language>
</cp:coreProperties>
</file>