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AB" w:rsidRDefault="009C5965">
      <w:pPr>
        <w:jc w:val="center"/>
        <w:rPr>
          <w:bCs/>
          <w:color w:val="000000"/>
          <w:lang w:eastAsia="ru-RU"/>
        </w:rPr>
      </w:pPr>
      <w:r>
        <w:rPr>
          <w:b/>
          <w:bCs/>
          <w:noProof/>
          <w:color w:val="000000"/>
          <w:lang w:eastAsia="ru-RU"/>
        </w:rPr>
        <w:drawing>
          <wp:inline distT="0" distB="0" distL="0" distR="0">
            <wp:extent cx="723900" cy="91313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9" t="-39" r="-4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8AB" w:rsidRDefault="008F28AB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28AB" w:rsidRDefault="009C59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8F28AB" w:rsidRDefault="008F28A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9C59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ЧУКОТСКИЙ АВТОНОМНЫЙ ОКРУГ</w:t>
      </w:r>
    </w:p>
    <w:p w:rsidR="008F28AB" w:rsidRDefault="008F28A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9C596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</w:t>
      </w:r>
    </w:p>
    <w:p w:rsidR="008F28AB" w:rsidRDefault="008F28AB">
      <w:pPr>
        <w:widowControl/>
        <w:ind w:left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9C5965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«О некоторых вопросах налогового регулирования </w:t>
      </w:r>
    </w:p>
    <w:p w:rsidR="008F28AB" w:rsidRDefault="009C596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Чукотском автономном округе»</w:t>
      </w:r>
    </w:p>
    <w:p w:rsidR="008F28AB" w:rsidRDefault="008F28AB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8F28AB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9C596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 Думой Чукотского</w:t>
      </w:r>
    </w:p>
    <w:p w:rsidR="008F28AB" w:rsidRDefault="009C596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автономного округа</w:t>
      </w:r>
    </w:p>
    <w:p w:rsidR="008F28AB" w:rsidRDefault="009C5965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декабря 2025 года</w:t>
      </w:r>
    </w:p>
    <w:p w:rsidR="008F28AB" w:rsidRDefault="008F28A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9C5965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1</w:t>
      </w:r>
    </w:p>
    <w:p w:rsidR="008F28AB" w:rsidRDefault="008F28AB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Закон Чукотского автономного округа от 18 мая 2015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47-ОЗ «О некоторых вопросах налогового регулирования в Чукотском автономном округе» («Ведомости» № 19 (705) - приложение к газете «Крайний Север» № 19 (1981) от 22.05.2015 г., «Ведомости» № 40 (726) - приложение к газете «Крайний Север» № 40 (2002) от 16.10.2015 г., «Ведомости» № 44 (781) - приложение к газете «Крайний Север» № 44 (2057) от 11.11.2016 г., «Ведомости» № 51/3 (788/3) - приложение к газете «Крайний Север»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51 (2064) от 30.12.2016 г., «Ведомости» № 22/1 (810/1) - приложение к газете «Крайний Север» № 22 (2086) от 09.06.2017 г., «Ведомости» № 44/1 (883/1) - приложение к газете «Крайний Север» № 44 (2159) от 09.11.2018 г., «Ведомости» № 9/1 (899/1) - приложение к газете «Крайний Север» № 9 (2175) от 07.03.2019 г., «Ведомости» № 45 (935) - приложение к газете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«Крайний Север» № 45 (2211) от 15.11.2019 г., «Ведомости» № 16/2 (957/2) - приложение к газете «Крайний Север» № 16 (2233) от 24.04.2020 г., «Ведомости» № 40 (981) - приложение к газете «Крайний Север» № 40 (2257) от 09.10.2020 г., «Ведомости» № 51/2 (992/2) - приложение к газете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«Крайний Север» № 51 (2268) от 25.12.2020 г.; «Ведомости», № 11/2 (1004/2) - приложение к газете «Крайний Север» № 11 (2280) от 26.03.2021 г.; «Ведомости», № 42/1(1035/1) приложение к газете «Крайний Север»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42 (2311) от 29.10.2021 г.; «Ведомости» № 21/2(1065/2) - приложение к газете «Крайний Север» № 21 (2341) от 03.06.2022 г.; Ведомости»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46/3 (1090/3) - приложение к газете «Крайний Север» № 46 (2366)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от 25.11.2022 г., «Ведомости» № 23 (1118) - приложение к газете «Крайний Север» № 23 (2394) от 16.06.2023 г.; «Ведомости» № 48 (1143) - приложение к газете «Крайний Север» № 48 (2419) от 08.12.2023 г., «Ведомости»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13/1 (1159/1) - приложение к газете «Крайний Север» № 13 (2435)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от 05.04.2024 г., «Ведомости» № 49/1 (1195/1) - приложение к газете «Крайний Север» № 49 (2471) от 13.12.2024 г., «Ведомости» № 22/2 (1219/2) - приложение к газете «Крайний Север» № 22 (2495) от 06.06.2025 г.) следующие изменения:</w:t>
      </w:r>
    </w:p>
    <w:p w:rsidR="008F28AB" w:rsidRDefault="008F28AB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1) часть 5 статьи 3 дополнить пунктом 8 следующего содержания:</w:t>
      </w: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«8) для управляющих компаний индустриальных (промышленных) парков, включенных в единый реестр организаций инфраструктуры поддержки субъектов малого и среднего предпринимательства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соответствующих требованиям, установленным Правительством Российской Федерации к индустриальному (промышленному) паркам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управляющей компании, в отношении имущества, учитываемого на балансе управляющей компании, в виде освобождения от уплаты налога на имущество организаций в размере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100 процентов исчисленного к уплате налога.</w:t>
      </w: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Управляющей компании льгота предоставляется, начиная с налогового периода, в котором в установленном законодательством порядке получено подтверждение соответствия индустриального (промышленного) парка и управляющей компании требованиям,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установленным Правительством Российской Федерации к индустриальному (промышленному) паркам.</w:t>
      </w: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Право на применение налоговой льготы, предусмотренной настоящим пунктом, утрачивается в случае исключения Министерством промышленности и торговли Российской Федерации сведений о парке и управляющей компании из реестра индустриальных (промышленных) парков и управляющих компаний индустриальных (промышленных) парков, соответствующих требованиям, установленным Правительством Российской Федерации к индустриальным (промышленным) паркам и управляющим компаниям индустриальных (промышленных) парков и (или) исключения сведений об управляющей компании из единого реестра организаций инфраструктуры поддержки субъектов малого и среднего предпринимательства,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требованиям.»;</w:t>
      </w:r>
    </w:p>
    <w:p w:rsidR="008F28AB" w:rsidRDefault="008F28AB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 дополнить статьей 6.2 следующего содержания: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7314"/>
      </w:tblGrid>
      <w:tr w:rsidR="008F28AB">
        <w:tc>
          <w:tcPr>
            <w:tcW w:w="2324" w:type="dxa"/>
          </w:tcPr>
          <w:p w:rsidR="008F28AB" w:rsidRDefault="009C5965">
            <w:pPr>
              <w:widowControl/>
              <w:ind w:firstLine="680"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314" w:type="dxa"/>
          </w:tcPr>
          <w:p w:rsidR="008F28AB" w:rsidRDefault="009C5965">
            <w:pPr>
              <w:widowControl/>
              <w:jc w:val="both"/>
              <w:outlineLv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Специальный налоговый режим «Автоматизированная упрощенная система налогообложения»</w:t>
            </w:r>
          </w:p>
        </w:tc>
      </w:tr>
    </w:tbl>
    <w:p w:rsidR="008F28AB" w:rsidRDefault="008F28AB">
      <w:pPr>
        <w:widowControl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частью 1.1 статьи 1 Федерального закона от 25 февраля 2022 года № 17-ФЗ «О проведении эксперимента по установлению специального налогового режима «Автоматизированная упрощенная система налогообложения» </w:t>
      </w:r>
      <w:bookmarkStart w:id="0" w:name="_Hlk210385084"/>
      <w:r>
        <w:rPr>
          <w:rFonts w:ascii="Times New Roman" w:hAnsi="Times New Roman" w:cs="Times New Roman"/>
          <w:bCs/>
          <w:color w:val="000000"/>
          <w:sz w:val="28"/>
          <w:szCs w:val="28"/>
        </w:rPr>
        <w:t>ввести в действие на территории Чукотского автономного округа специальный налоговый режим «Автоматизированная упрощенная система налогообложения»</w:t>
      </w:r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.»;</w:t>
      </w: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3) в таблице приложения 4: </w:t>
      </w:r>
    </w:p>
    <w:p w:rsidR="008F28AB" w:rsidRDefault="009C5965">
      <w:pPr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а) строку 44 признать утратившей силу;</w:t>
      </w:r>
    </w:p>
    <w:p w:rsidR="008F28AB" w:rsidRDefault="009C5965">
      <w:pPr>
        <w:widowControl/>
        <w:tabs>
          <w:tab w:val="left" w:pos="1134"/>
        </w:tabs>
        <w:ind w:left="709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дополнить строкой 83 следующего содержания:</w:t>
      </w:r>
    </w:p>
    <w:p w:rsidR="008F28AB" w:rsidRDefault="008F28AB">
      <w:pPr>
        <w:widowControl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8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6"/>
        <w:gridCol w:w="602"/>
        <w:gridCol w:w="6634"/>
        <w:gridCol w:w="733"/>
        <w:gridCol w:w="1025"/>
        <w:gridCol w:w="508"/>
      </w:tblGrid>
      <w:tr w:rsidR="008F28AB">
        <w:tc>
          <w:tcPr>
            <w:tcW w:w="356" w:type="dxa"/>
            <w:tcBorders>
              <w:right w:val="single" w:sz="4" w:space="0" w:color="000000"/>
            </w:tcBorders>
          </w:tcPr>
          <w:p w:rsidR="008F28AB" w:rsidRDefault="009C596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AB" w:rsidRDefault="009C596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83.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AB" w:rsidRDefault="009C596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Оказание услуг банковского платежного агента (субагента)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поселений, муниципальных районов, округов, городского округа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AB" w:rsidRDefault="009C596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AB" w:rsidRDefault="009C596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2 000</w:t>
            </w:r>
          </w:p>
        </w:tc>
        <w:tc>
          <w:tcPr>
            <w:tcW w:w="508" w:type="dxa"/>
            <w:tcBorders>
              <w:left w:val="single" w:sz="4" w:space="0" w:color="000000"/>
            </w:tcBorders>
            <w:vAlign w:val="bottom"/>
          </w:tcPr>
          <w:p w:rsidR="008F28AB" w:rsidRDefault="009C596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».</w:t>
            </w:r>
          </w:p>
        </w:tc>
      </w:tr>
    </w:tbl>
    <w:p w:rsidR="008F28AB" w:rsidRDefault="008F28AB">
      <w:pPr>
        <w:widowControl/>
        <w:ind w:left="106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28AB" w:rsidRDefault="009C5965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2</w:t>
      </w:r>
    </w:p>
    <w:p w:rsidR="008F28AB" w:rsidRDefault="008F28AB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28AB" w:rsidRDefault="009C5965">
      <w:pPr>
        <w:widowControl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Настоящий Закон вступает в силу с 1 января 2026 года за исключением положений, для которых настоящей статьей установлены иные сроки вступления их в силу.</w:t>
      </w:r>
    </w:p>
    <w:p w:rsidR="008F28AB" w:rsidRDefault="009C596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Пункт 2 статьи 1 настоящего Закона вступает в силу с 1 февраля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2026 года, но не ранее чем по истечении одного месяца со дня его официального опубликования.</w:t>
      </w:r>
    </w:p>
    <w:p w:rsidR="008F28AB" w:rsidRDefault="008F28AB">
      <w:pPr>
        <w:widowControl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8F28AB">
      <w:pPr>
        <w:widowControl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8F28AB">
      <w:pPr>
        <w:widowControl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9C5965">
      <w:pPr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Губернатор Чукотского </w:t>
      </w:r>
    </w:p>
    <w:p w:rsidR="008F28AB" w:rsidRDefault="009C5965">
      <w:pPr>
        <w:ind w:right="-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В.Г. Кузнецов</w:t>
      </w:r>
    </w:p>
    <w:p w:rsidR="008F28AB" w:rsidRDefault="008F28AB">
      <w:pPr>
        <w:ind w:right="-12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8F28AB">
      <w:pPr>
        <w:ind w:right="-12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9C5965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г. Анадырь</w:t>
      </w:r>
    </w:p>
    <w:p w:rsidR="008F28AB" w:rsidRDefault="008F28A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8AB" w:rsidRDefault="00334705">
      <w:pPr>
        <w:jc w:val="both"/>
        <w:outlineLvl w:val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«19» декабря</w:t>
      </w:r>
      <w:r w:rsidR="009C5965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</w:p>
    <w:p w:rsidR="008F28AB" w:rsidRDefault="008F28AB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F28AB" w:rsidRDefault="00334705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101</w:t>
      </w:r>
      <w:r w:rsidR="009C5965">
        <w:rPr>
          <w:rFonts w:ascii="Times New Roman" w:hAnsi="Times New Roman" w:cs="Times New Roman"/>
          <w:color w:val="000000"/>
          <w:sz w:val="28"/>
          <w:szCs w:val="28"/>
        </w:rPr>
        <w:t>-ОЗ</w:t>
      </w:r>
    </w:p>
    <w:p w:rsidR="008F28AB" w:rsidRDefault="008F28AB">
      <w:pPr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F28AB">
      <w:headerReference w:type="default" r:id="rId8"/>
      <w:headerReference w:type="first" r:id="rId9"/>
      <w:pgSz w:w="11906" w:h="16838"/>
      <w:pgMar w:top="992" w:right="851" w:bottom="851" w:left="1417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86" w:rsidRDefault="00321986">
      <w:r>
        <w:separator/>
      </w:r>
    </w:p>
  </w:endnote>
  <w:endnote w:type="continuationSeparator" w:id="0">
    <w:p w:rsidR="00321986" w:rsidRDefault="0032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86" w:rsidRDefault="00321986">
      <w:r>
        <w:separator/>
      </w:r>
    </w:p>
  </w:footnote>
  <w:footnote w:type="continuationSeparator" w:id="0">
    <w:p w:rsidR="00321986" w:rsidRDefault="0032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AB" w:rsidRDefault="009C5965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371C8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8F28AB" w:rsidRDefault="008F28AB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AB" w:rsidRDefault="008F28A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513"/>
    <w:multiLevelType w:val="multilevel"/>
    <w:tmpl w:val="8FF051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8F28AB"/>
    <w:rsid w:val="001371C8"/>
    <w:rsid w:val="00321986"/>
    <w:rsid w:val="00334705"/>
    <w:rsid w:val="00700107"/>
    <w:rsid w:val="008F28AB"/>
    <w:rsid w:val="009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CC7E-3EEF-47F3-ABEE-203FFA3A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ascii="Arial" w:eastAsia="Calibri" w:hAnsi="Arial" w:cs="Arial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annotation reference"/>
    <w:qFormat/>
    <w:rPr>
      <w:rFonts w:cs="Times New Roman"/>
      <w:sz w:val="16"/>
      <w:szCs w:val="1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qFormat/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qFormat/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qFormat/>
    <w:rPr>
      <w:b/>
      <w:bCs/>
      <w:color w:val="106BB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Обычный (Интернет)"/>
    <w:basedOn w:val="a"/>
    <w:qFormat/>
    <w:pPr>
      <w:widowControl/>
      <w:autoSpaceDE/>
      <w:spacing w:before="100" w:after="100"/>
    </w:pPr>
    <w:rPr>
      <w:rFonts w:ascii="Times New Roman" w:eastAsia="Times New Roman" w:hAnsi="Times New Roman" w:cs="Times New Roman"/>
      <w:color w:val="00FFFF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PlusNormal">
    <w:name w:val="ConsPlusNormal"/>
    <w:qFormat/>
    <w:pPr>
      <w:autoSpaceDE w:val="0"/>
    </w:pPr>
    <w:rPr>
      <w:rFonts w:ascii="Arial" w:eastAsia="Calibri" w:hAnsi="Arial" w:cs="Arial"/>
      <w:sz w:val="20"/>
      <w:szCs w:val="20"/>
      <w:lang w:bidi="ar-SA"/>
    </w:rPr>
  </w:style>
  <w:style w:type="paragraph" w:styleId="af2">
    <w:name w:val="List Paragraph"/>
    <w:basedOn w:val="a"/>
    <w:qFormat/>
    <w:pPr>
      <w:ind w:left="708"/>
    </w:p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DocList">
    <w:name w:val="ConsPlusDocLis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JurTerm">
    <w:name w:val="ConsPlusJurTerm"/>
    <w:qFormat/>
    <w:pPr>
      <w:widowControl w:val="0"/>
      <w:autoSpaceDE w:val="0"/>
    </w:pPr>
    <w:rPr>
      <w:rFonts w:ascii="Tahoma" w:eastAsia="Times New Roman" w:hAnsi="Tahoma" w:cs="Tahoma"/>
      <w:sz w:val="26"/>
      <w:szCs w:val="20"/>
      <w:lang w:bidi="ar-SA"/>
    </w:rPr>
  </w:style>
  <w:style w:type="paragraph" w:customStyle="1" w:styleId="ConsPlusTextList">
    <w:name w:val="ConsPlusTextLis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3">
    <w:name w:val="Прижатый влево"/>
    <w:basedOn w:val="a"/>
    <w:next w:val="a"/>
    <w:qFormat/>
    <w:pPr>
      <w:widowControl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qFormat/>
    <w:pPr>
      <w:jc w:val="both"/>
    </w:pPr>
    <w:rPr>
      <w:rFonts w:ascii="Times New Roman CYR" w:eastAsia="Times New Roman" w:hAnsi="Times New Roman CYR" w:cs="Times New Roman CYR"/>
    </w:rPr>
  </w:style>
  <w:style w:type="paragraph" w:customStyle="1" w:styleId="s1">
    <w:name w:val="s_1"/>
    <w:basedOn w:val="a"/>
    <w:qFormat/>
    <w:pPr>
      <w:widowControl/>
      <w:autoSpaceDE/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qFormat/>
    <w:pPr>
      <w:widowControl/>
      <w:autoSpaceDE/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3</cp:revision>
  <cp:lastPrinted>2025-12-22T23:30:00Z</cp:lastPrinted>
  <dcterms:created xsi:type="dcterms:W3CDTF">2025-12-22T23:28:00Z</dcterms:created>
  <dcterms:modified xsi:type="dcterms:W3CDTF">2025-12-22T23:33:00Z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2025-11-24T10:01:00Z</dcterms:created>
  <dc:creator>Петрусь Зоя Николаевна</dc:creator>
  <dc:description/>
  <cp:keywords/>
  <dc:language>ru-RU</dc:language>
  <cp:lastModifiedBy/>
  <cp:lastPrinted>2025-12-16T09:38:56Z</cp:lastPrinted>
  <dcterms:modified xsi:type="dcterms:W3CDTF">2025-12-16T09:48:44Z</dcterms:modified>
  <cp:revision>111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E3AB9E963BAB4CA999785278E2F985C9_12</vt:lpwstr>
  </property>
  <property fmtid="{D5CDD505-2E9C-101B-9397-08002B2CF9AE}" pid="3" name="KSOProductBuildVer">
    <vt:lpwstr>1049-12.2.0.18607</vt:lpwstr>
  </property>
  <property fmtid="{D5CDD505-2E9C-101B-9397-08002B2CF9AE}" pid="4" name="_NewReviewCycle">
    <vt:lpwstr/>
  </property>
</Properties>
</file>