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9C" w:rsidRDefault="00642703">
      <w:pPr>
        <w:pStyle w:val="ac"/>
        <w:jc w:val="center"/>
        <w:rPr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5965" cy="92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F9C" w:rsidRDefault="00681F9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681F9C" w:rsidRDefault="00642703">
      <w:pPr>
        <w:pStyle w:val="ac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ФЕДЕРАЦИЯ</w:t>
      </w:r>
    </w:p>
    <w:p w:rsidR="00681F9C" w:rsidRDefault="00681F9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681F9C" w:rsidRDefault="00642703">
      <w:pPr>
        <w:pStyle w:val="ac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ЧУКОТСКИЙ АВТОНОМНЫЙ ОКРУГ</w:t>
      </w:r>
    </w:p>
    <w:p w:rsidR="00681F9C" w:rsidRDefault="00681F9C">
      <w:pPr>
        <w:rPr>
          <w:sz w:val="28"/>
        </w:rPr>
      </w:pPr>
    </w:p>
    <w:p w:rsidR="00681F9C" w:rsidRDefault="00642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681F9C" w:rsidRDefault="00681F9C">
      <w:pPr>
        <w:shd w:val="clear" w:color="auto" w:fill="FFFFFF"/>
        <w:ind w:left="518" w:right="77"/>
        <w:jc w:val="right"/>
        <w:rPr>
          <w:b/>
          <w:sz w:val="28"/>
          <w:szCs w:val="28"/>
        </w:rPr>
      </w:pPr>
    </w:p>
    <w:p w:rsidR="00681F9C" w:rsidRDefault="00642703">
      <w:pPr>
        <w:shd w:val="clear" w:color="auto" w:fill="FFFFFF"/>
        <w:ind w:right="82"/>
        <w:jc w:val="center"/>
      </w:pPr>
      <w:r>
        <w:rPr>
          <w:b/>
          <w:bCs/>
          <w:spacing w:val="-1"/>
          <w:sz w:val="28"/>
          <w:szCs w:val="28"/>
        </w:rPr>
        <w:t>«Об архивном деле в Чукотском автономном округе»</w:t>
      </w:r>
    </w:p>
    <w:p w:rsidR="00681F9C" w:rsidRDefault="00681F9C">
      <w:pPr>
        <w:jc w:val="both"/>
        <w:rPr>
          <w:sz w:val="28"/>
          <w:szCs w:val="28"/>
        </w:rPr>
      </w:pPr>
    </w:p>
    <w:p w:rsidR="00681F9C" w:rsidRDefault="00681F9C">
      <w:pPr>
        <w:jc w:val="both"/>
        <w:rPr>
          <w:sz w:val="28"/>
          <w:szCs w:val="28"/>
        </w:rPr>
      </w:pPr>
    </w:p>
    <w:p w:rsidR="00681F9C" w:rsidRDefault="006427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 Думой Чукотского</w:t>
      </w:r>
    </w:p>
    <w:p w:rsidR="00681F9C" w:rsidRDefault="00642703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</w:p>
    <w:p w:rsidR="00681F9C" w:rsidRDefault="00642703">
      <w:pPr>
        <w:jc w:val="both"/>
      </w:pPr>
      <w:r>
        <w:rPr>
          <w:sz w:val="28"/>
          <w:szCs w:val="28"/>
        </w:rPr>
        <w:t>22 декабря 2025 года</w:t>
      </w:r>
    </w:p>
    <w:p w:rsidR="00681F9C" w:rsidRDefault="00681F9C">
      <w:pPr>
        <w:jc w:val="both"/>
        <w:rPr>
          <w:sz w:val="28"/>
          <w:szCs w:val="28"/>
        </w:rPr>
      </w:pPr>
    </w:p>
    <w:p w:rsidR="00681F9C" w:rsidRDefault="00681F9C">
      <w:pPr>
        <w:jc w:val="both"/>
        <w:rPr>
          <w:sz w:val="28"/>
          <w:szCs w:val="28"/>
        </w:rPr>
      </w:pPr>
    </w:p>
    <w:p w:rsidR="00681F9C" w:rsidRDefault="00642703">
      <w:pPr>
        <w:ind w:firstLine="709"/>
        <w:jc w:val="both"/>
      </w:pPr>
      <w:r>
        <w:rPr>
          <w:b/>
          <w:sz w:val="28"/>
          <w:szCs w:val="28"/>
        </w:rPr>
        <w:t>Глава 1. Общие положения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1. Предмет регулирования настоящего Закона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Настоящий Закон в соответствии с Федеральным законом от 22 октября 2004 года № 125-ФЗ «Об архивном деле в Российской Федерации» (далее - Федеральный закон «Об архивном деле в Российской Федерации») регулирует отношения в сфере организации хранения, комплектования, учета и использования документов Архивного фонда Чукотского автономного округа и других архивных документов независимо от их форм собственности, а также отношения в сфере управления архивным делом в Чукотском автономном округе в интересах граждан, общества и государства.</w:t>
      </w:r>
    </w:p>
    <w:p w:rsidR="00681F9C" w:rsidRDefault="00681F9C">
      <w:pPr>
        <w:ind w:firstLine="709"/>
        <w:jc w:val="both"/>
        <w:rPr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2.</w:t>
            </w:r>
          </w:p>
        </w:tc>
        <w:tc>
          <w:tcPr>
            <w:tcW w:w="7642" w:type="dxa"/>
          </w:tcPr>
          <w:p w:rsidR="00681F9C" w:rsidRDefault="006427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Правовое регулирование отношений в сфере архивного дела в Чукотском автономном округе</w:t>
            </w:r>
          </w:p>
        </w:tc>
      </w:tr>
    </w:tbl>
    <w:p w:rsidR="00681F9C" w:rsidRDefault="00681F9C">
      <w:pPr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Чукотского автономного округа об архивном деле основывается на Конституции Российской Федерации, Федеральном законе «Об архивном деле в Российской Федерации», других федеральных законах и принимаемых в соответствии с ними нормативных правовых актах Российской Федерации и состоит из настоящего Закона и иных нормативных правовых актов Чукотского автономного округа.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widowControl/>
        <w:ind w:firstLine="737"/>
        <w:jc w:val="both"/>
        <w:outlineLvl w:val="0"/>
        <w:rPr>
          <w:b/>
          <w:bCs/>
          <w:sz w:val="28"/>
          <w:szCs w:val="28"/>
        </w:rPr>
      </w:pPr>
      <w:r>
        <w:br w:type="page"/>
      </w:r>
    </w:p>
    <w:p w:rsidR="00681F9C" w:rsidRDefault="00642703">
      <w:pPr>
        <w:widowControl/>
        <w:ind w:firstLine="73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3. Основные понятия, используемые в настоящем Законе</w:t>
      </w:r>
    </w:p>
    <w:p w:rsidR="00681F9C" w:rsidRDefault="00681F9C">
      <w:pPr>
        <w:widowControl/>
        <w:jc w:val="both"/>
        <w:rPr>
          <w:b/>
          <w:bCs/>
          <w:sz w:val="28"/>
          <w:szCs w:val="28"/>
        </w:rPr>
      </w:pPr>
    </w:p>
    <w:p w:rsidR="00681F9C" w:rsidRDefault="00642703">
      <w:pPr>
        <w:widowControl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Законе понятия и термины используются в значениях, определенных в Федеральном законе «Об архивном деле в Российской Федерации».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4.</w:t>
            </w:r>
          </w:p>
        </w:tc>
        <w:tc>
          <w:tcPr>
            <w:tcW w:w="7642" w:type="dxa"/>
          </w:tcPr>
          <w:p w:rsidR="00681F9C" w:rsidRDefault="006427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архивов, создаваемых в Чукотском автономном округе</w:t>
            </w:r>
          </w:p>
        </w:tc>
      </w:tr>
    </w:tbl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На территории Чукотского автономного округа в соответствии с Федеральным законом «Об архивном деле в Российской Федерации» могут создаваться: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1) федеральные государственные архивы;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2) архивы органов государственной власти Российской Федерации, иных государственных органов Российской Федерации;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3) государственные архивы Чукотского автономного округа;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4) архивы органов государственной власти Чукотского автономного округа, иных государственных органов Чукотского автономного округа;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5) муниципальные архивы;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6) архивы органов местного самоуправления муниципальных образований Чукотского автономного округа;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7) архивы организаций;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8) архивы граждан.</w:t>
      </w:r>
    </w:p>
    <w:p w:rsidR="00681F9C" w:rsidRDefault="00681F9C">
      <w:pPr>
        <w:jc w:val="both"/>
        <w:rPr>
          <w:sz w:val="28"/>
          <w:szCs w:val="28"/>
        </w:rPr>
      </w:pPr>
    </w:p>
    <w:tbl>
      <w:tblPr>
        <w:tblW w:w="8897" w:type="dxa"/>
        <w:tblInd w:w="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763"/>
      </w:tblGrid>
      <w:tr w:rsidR="00681F9C">
        <w:tc>
          <w:tcPr>
            <w:tcW w:w="1134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2.</w:t>
            </w:r>
          </w:p>
        </w:tc>
        <w:tc>
          <w:tcPr>
            <w:tcW w:w="7762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Управление архивным делом в Чукотском автономном округе</w:t>
            </w:r>
          </w:p>
        </w:tc>
      </w:tr>
    </w:tbl>
    <w:p w:rsidR="00681F9C" w:rsidRDefault="00681F9C">
      <w:pPr>
        <w:jc w:val="both"/>
        <w:rPr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5.</w:t>
            </w:r>
          </w:p>
        </w:tc>
        <w:tc>
          <w:tcPr>
            <w:tcW w:w="7642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Организация управления архивным делом в Чукотском автономном округе</w:t>
            </w:r>
          </w:p>
        </w:tc>
      </w:tr>
    </w:tbl>
    <w:p w:rsidR="00681F9C" w:rsidRDefault="00681F9C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1. Государственное управление архивным делом в Чукотском автономном округе осуществляют органы государственной власти Чукотского автономного округа в соответствии с компетенцией, установленной статьей 6 настоящего Закона.</w:t>
      </w: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2. Управление архивным делом в муниципальных образованиях Чукотского автономного округа осуществляют органы местного самоуправления в соответствии с Федеральным законом «Об архивном деле в Российской Федерации».</w:t>
      </w:r>
    </w:p>
    <w:p w:rsidR="00681F9C" w:rsidRDefault="00681F9C">
      <w:pPr>
        <w:jc w:val="both"/>
        <w:rPr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6.</w:t>
            </w:r>
          </w:p>
        </w:tc>
        <w:tc>
          <w:tcPr>
            <w:tcW w:w="7642" w:type="dxa"/>
          </w:tcPr>
          <w:p w:rsidR="00681F9C" w:rsidRDefault="00642703">
            <w:pPr>
              <w:jc w:val="both"/>
            </w:pPr>
            <w:r>
              <w:rPr>
                <w:b/>
                <w:sz w:val="28"/>
                <w:szCs w:val="28"/>
              </w:rPr>
              <w:t>Полномочия органов государственной власти Чукотского автономного округа в сфере архивного дела</w:t>
            </w:r>
          </w:p>
        </w:tc>
      </w:tr>
    </w:tbl>
    <w:p w:rsidR="00681F9C" w:rsidRDefault="00681F9C">
      <w:pPr>
        <w:jc w:val="both"/>
        <w:rPr>
          <w:sz w:val="28"/>
          <w:szCs w:val="28"/>
        </w:rPr>
      </w:pP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 полномочиям Думы Чукотского автономного округа в сфере архивного дела относятся: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законодательное регулирование архивного дела в Чукотском автономном округе;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осуществление контроля за исполнением настоящего Закона.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 полномочиям Правительства Чукотского автономного округа в сфере архивного дела относятся: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государственной политики в области архивного дела на территории Чукотского автономного округа;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2) определение уполномоченного исполнительного органа Чукотского автономного округа в сфере архивного дела (далее – уполномоченный орган);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принятие нормативных правовых актов Чукотского автономного округа в сфере архивного дела, разработка, утверждение и реализация государственных программ Чукотского автономного округа, содержащих мероприятия, направленные на развитие архивного дела в Чукотском автономном округе;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создание и содержание государственных архивов и архивных учреждений Чукотского автономного округа;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решение вопросов о передаче документов, находящихся в собственности Чукотского автономного округа, в собственность Российской Федерации, иных субъектов Российской Федерации и (или) муниципальных образований;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осуществление иных полномочий, установленных федеральным законодательством и законодательством Чукотского автономного округа, настоящим Законом.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3. К полномочиям уполномоченного органа относятся: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1) оказание организационно-методической помощи в сфере архивного дела органам государственной власти и иным государственным органам Чукотского автономного округа, органам местного самоуправления, организациям независимо от форм собственности и гражданам;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2) взаимодействие со специально уполномоченным Правительством Российской Федерации федеральным органом исполнительной власти в сфере архивного дела и делопроизводства по вопросам архивного дела;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3) взаимодействие с органами местного самоуправления по вопросам архивного дела;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4) осуществление регионального государственного контроля (надзора) за соблюдением законодательства об архивном деле;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установление размера возмещения расходов, произведенных государственным архивом на хранение документов, не относящихся к государственной собственности Чукотского автономного округа;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осуществление иных полномочий, установленных федеральным законодательством и законодательством Чукотского автономного округа, настоящим Законом.</w:t>
      </w:r>
    </w:p>
    <w:p w:rsidR="00681F9C" w:rsidRDefault="00681F9C">
      <w:pPr>
        <w:ind w:firstLine="709"/>
        <w:jc w:val="both"/>
        <w:rPr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7.</w:t>
            </w:r>
          </w:p>
        </w:tc>
        <w:tc>
          <w:tcPr>
            <w:tcW w:w="7642" w:type="dxa"/>
          </w:tcPr>
          <w:p w:rsidR="00681F9C" w:rsidRDefault="00642703">
            <w:pPr>
              <w:jc w:val="both"/>
            </w:pPr>
            <w:r>
              <w:rPr>
                <w:b/>
                <w:sz w:val="28"/>
                <w:szCs w:val="28"/>
              </w:rPr>
              <w:t>Региональный государственный контроль (надзор) за соблюдением законодательства об архивном деле</w:t>
            </w:r>
          </w:p>
        </w:tc>
      </w:tr>
    </w:tbl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Региональный государственный контроль (надзор) за соблюдением законодательства об архивном деле осуществляется уполномоченным органом в соответствии с положением, утверждаемым Правительством Чукотского автономного округа.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Предметом регионального государственного контроля (надзора) за соблюдением законодательства об архивном деле является соблюдение обязательных требований, установленных в соответствии с федеральными законами и иными нормативными правовыми актами Российской Федерации, законами и иными нормативными правовыми актами Чукотского автономного округа,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Чукотского автономного округа, за исключением требований, являющихся предметом федерального государственного контроля (надзора) за соблюдением законодательства об архивном деле.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8.</w:t>
            </w:r>
          </w:p>
        </w:tc>
        <w:tc>
          <w:tcPr>
            <w:tcW w:w="7642" w:type="dxa"/>
          </w:tcPr>
          <w:p w:rsidR="00681F9C" w:rsidRDefault="006427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Финансовое и материально-техническое обеспечение архивного дела</w:t>
            </w:r>
          </w:p>
        </w:tc>
      </w:tr>
    </w:tbl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Формирование и содержание архивных фондов Чукотского автономного округа осуществляется за счет средств окружного бюджета, иных поступлений, разрешенных законодательством Российской Федерации.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окружном бюджете на очередной финансовый год могут предусматриваться средства на приобретение в государственную собственность Чукотского автономного округа исторически значимых личных архивов, документальных собраний, коллекций, а также копий архивных документов, имеющих историческое, научное, социальное, экономическое, политическое и культурное значение для Чукотского автономного округа.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Государственные архивы Чукотского автономного округа вправе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законодательством Российской Федерации.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Муниципальные архивы Чукотского автономного округа формируются и содержатся за счет средств муниципального бюджета. 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Муниципальные архивы Чукотского автономного округа (если они не являются структурными подразделениями администраций муниципальных образований) вправе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законодательством Российской Федерации.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Собственники (владельцы) негосударственных и частных архивов в Чукотском автономном округе содержат свои архивы за счет собственных средств.</w:t>
      </w:r>
      <w:r>
        <w:br w:type="page"/>
      </w:r>
    </w:p>
    <w:tbl>
      <w:tblPr>
        <w:tblW w:w="889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643"/>
      </w:tblGrid>
      <w:tr w:rsidR="00681F9C">
        <w:trPr>
          <w:jc w:val="right"/>
        </w:trPr>
        <w:tc>
          <w:tcPr>
            <w:tcW w:w="1250" w:type="dxa"/>
          </w:tcPr>
          <w:p w:rsidR="00681F9C" w:rsidRDefault="00642703">
            <w:pPr>
              <w:pageBreakBefore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3.</w:t>
            </w:r>
          </w:p>
        </w:tc>
        <w:tc>
          <w:tcPr>
            <w:tcW w:w="7643" w:type="dxa"/>
          </w:tcPr>
          <w:p w:rsidR="00681F9C" w:rsidRDefault="006427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Архивные документы и архивные фонды Чукотского автономного округа</w:t>
            </w:r>
          </w:p>
        </w:tc>
      </w:tr>
    </w:tbl>
    <w:p w:rsidR="00681F9C" w:rsidRDefault="00681F9C">
      <w:pPr>
        <w:ind w:firstLine="709"/>
        <w:jc w:val="both"/>
        <w:rPr>
          <w:sz w:val="28"/>
          <w:szCs w:val="28"/>
        </w:rPr>
      </w:pPr>
    </w:p>
    <w:p w:rsidR="00681F9C" w:rsidRDefault="00642703">
      <w:pPr>
        <w:pStyle w:val="western"/>
        <w:spacing w:before="0"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Статья 9. Архивные фонды Чукотского автономного округа</w:t>
      </w:r>
    </w:p>
    <w:p w:rsidR="00681F9C" w:rsidRDefault="00681F9C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архивным фондам Чукотского автономного округа относятся архивные фонды: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государственных архивов, музеев и библиотек Чукотского автономного округа;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органов государственной власти и иных государственных органов Чукотского автономного округа (в том числе муниципальных);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государственных унитарных предприятий, включая казенные предприятия, и государственных учреждений Чукотского автономного округа;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муниципальных унитарных предприятий, включая казенные предприятия, и муниципальных учреждений Чукотского автономного округа.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</w:pPr>
      <w:r>
        <w:rPr>
          <w:b/>
          <w:sz w:val="28"/>
          <w:szCs w:val="28"/>
        </w:rPr>
        <w:t>Статья 10. Состав архивных фондов Чукотского автономного округа</w:t>
      </w:r>
    </w:p>
    <w:p w:rsidR="00681F9C" w:rsidRDefault="00681F9C">
      <w:pPr>
        <w:ind w:firstLine="709"/>
        <w:jc w:val="both"/>
        <w:rPr>
          <w:b/>
          <w:sz w:val="28"/>
          <w:szCs w:val="28"/>
        </w:rPr>
      </w:pP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1. В состав архивных фондов Чукотского автономного округа входят архивные документы, находящиеся в Чукотском автономном округе, прошедшие экспертизу ценности и имеющие научно-историческое или практическое значение, поставленные на государственный учет и подлежащие постоянному хранению, независимо от времени и способа их создания, вида носителя,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видео- и фонодокументы, электронные и телеметрические документы, рукописи, рисунки, чертежи, дневники, переписка, мемуары, копии архивных документов на правах подлинников.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вопросов о включении в состав архивных фондов Чукотского автономного округа архивных документов, завершенных в делопроизводстве, осуществляется экспертно-проверочной комиссией уполномоченного органа.</w:t>
      </w:r>
    </w:p>
    <w:p w:rsidR="00681F9C" w:rsidRDefault="00681F9C">
      <w:pPr>
        <w:ind w:firstLine="709"/>
        <w:jc w:val="both"/>
        <w:rPr>
          <w:sz w:val="28"/>
          <w:szCs w:val="28"/>
        </w:rPr>
      </w:pPr>
    </w:p>
    <w:tbl>
      <w:tblPr>
        <w:tblW w:w="8897" w:type="dxa"/>
        <w:tblInd w:w="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481"/>
      </w:tblGrid>
      <w:tr w:rsidR="00681F9C">
        <w:tc>
          <w:tcPr>
            <w:tcW w:w="1416" w:type="dxa"/>
          </w:tcPr>
          <w:p w:rsidR="00681F9C" w:rsidRDefault="006427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11.</w:t>
            </w:r>
          </w:p>
        </w:tc>
        <w:tc>
          <w:tcPr>
            <w:tcW w:w="7480" w:type="dxa"/>
          </w:tcPr>
          <w:p w:rsidR="00681F9C" w:rsidRDefault="00642703">
            <w:pPr>
              <w:jc w:val="both"/>
            </w:pPr>
            <w:r>
              <w:rPr>
                <w:b/>
                <w:sz w:val="28"/>
                <w:szCs w:val="28"/>
              </w:rPr>
              <w:t>Архивные документы, относящиеся к собственности Чукотского автономного округа, муниципальной собственности Чукотского автономного округа</w:t>
            </w:r>
          </w:p>
        </w:tc>
      </w:tr>
    </w:tbl>
    <w:p w:rsidR="00681F9C" w:rsidRDefault="00681F9C">
      <w:pPr>
        <w:ind w:firstLine="709"/>
        <w:jc w:val="both"/>
        <w:rPr>
          <w:sz w:val="28"/>
          <w:szCs w:val="28"/>
        </w:rPr>
      </w:pPr>
    </w:p>
    <w:p w:rsidR="00681F9C" w:rsidRDefault="0064270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собственности Чукотского автономного округа относятся архивные документы:</w:t>
      </w:r>
    </w:p>
    <w:p w:rsidR="00681F9C" w:rsidRDefault="00642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хранящиеся в государственных архивах Чукотского автономного округа, музеях и библиотеках Чукотского автономного округа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2) государственных органов, государственных унитарных предприятий, включая казенные, и государственных учреждений Чукотского автономного округа.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2. К муниципальной собственности Чукотского автономного округа относятся архивные документы: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1) хранящиеся в муниципальных архивах Чукотского автономного округа, муниципальных музеях и библиотеках Чукотского автономного округа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681F9C" w:rsidRDefault="00642703">
      <w:pPr>
        <w:ind w:firstLine="709"/>
        <w:jc w:val="both"/>
      </w:pPr>
      <w:r>
        <w:rPr>
          <w:sz w:val="28"/>
          <w:szCs w:val="28"/>
        </w:rPr>
        <w:t>2) муниципальных органов, муниципальных унитарных предприятий, включая казенные, и муниципальных учреждений Чукотского автономного округа.</w:t>
      </w:r>
    </w:p>
    <w:p w:rsidR="00681F9C" w:rsidRDefault="00642703">
      <w:pPr>
        <w:ind w:firstLine="737"/>
        <w:jc w:val="both"/>
      </w:pPr>
      <w:r>
        <w:rPr>
          <w:sz w:val="28"/>
          <w:szCs w:val="28"/>
        </w:rPr>
        <w:t xml:space="preserve">3. Разграничение собственности между муниципальными образованиями, муниципальным образованием и Чукотским автономным округом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архивах, осуществляется в соответствии с настоящим Законом. </w:t>
      </w:r>
    </w:p>
    <w:p w:rsidR="00681F9C" w:rsidRDefault="00681F9C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</w:p>
    <w:p w:rsidR="00681F9C" w:rsidRDefault="00642703">
      <w:pPr>
        <w:pStyle w:val="western"/>
        <w:spacing w:before="0" w:after="0" w:line="240" w:lineRule="auto"/>
        <w:ind w:firstLine="709"/>
      </w:pPr>
      <w:r>
        <w:rPr>
          <w:rFonts w:ascii="Times New Roman" w:hAnsi="Times New Roman" w:cs="Times New Roman"/>
          <w:b/>
        </w:rPr>
        <w:t>Статья 12. Государственные архивы Чукотского автономного округа</w:t>
      </w:r>
    </w:p>
    <w:p w:rsidR="00681F9C" w:rsidRDefault="00681F9C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  <w:b/>
        </w:rPr>
      </w:pPr>
    </w:p>
    <w:p w:rsidR="00681F9C" w:rsidRDefault="00642703">
      <w:pPr>
        <w:pStyle w:val="western"/>
        <w:spacing w:before="0" w:after="0" w:line="240" w:lineRule="auto"/>
        <w:ind w:firstLine="709"/>
      </w:pPr>
      <w:r>
        <w:rPr>
          <w:rFonts w:ascii="Times New Roman" w:hAnsi="Times New Roman" w:cs="Times New Roman"/>
        </w:rPr>
        <w:t>1. Государственные архивы Чукотского автономного округа создаются, реорганизуются и ликвидируются в соответствии с федеральным законодательством и законодательством Чукотского автономного округа.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Государственные архивы Чукотского автономного округа комплектуются документами органов государственной власти Чукотского автономного округа, иных государственных органов и организаций Чукотского автономного округа, прошедшими экспертизу ценности, и другими архивными документами.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Государственные архивы Чукотского автономного округа могут комплектоваться документами территориальных органов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Чукотского автономного округа, документами негосударственных организаций и частных лиц в порядке, установленном федеральным законодательством.</w:t>
      </w:r>
    </w:p>
    <w:p w:rsidR="00681F9C" w:rsidRDefault="00681F9C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8897" w:type="dxa"/>
        <w:tblInd w:w="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481"/>
      </w:tblGrid>
      <w:tr w:rsidR="00681F9C">
        <w:tc>
          <w:tcPr>
            <w:tcW w:w="1416" w:type="dxa"/>
          </w:tcPr>
          <w:p w:rsidR="00681F9C" w:rsidRDefault="00642703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Статья 13.</w:t>
            </w:r>
          </w:p>
        </w:tc>
        <w:tc>
          <w:tcPr>
            <w:tcW w:w="7480" w:type="dxa"/>
          </w:tcPr>
          <w:p w:rsidR="00681F9C" w:rsidRDefault="00642703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 w:cs="Times New Roman"/>
                <w:b/>
              </w:rPr>
              <w:t>Включение архивных документов в состав архивных фондов Чукотского автономного округа</w:t>
            </w:r>
          </w:p>
        </w:tc>
      </w:tr>
    </w:tbl>
    <w:p w:rsidR="00681F9C" w:rsidRDefault="00681F9C">
      <w:pPr>
        <w:pStyle w:val="western"/>
        <w:spacing w:before="0" w:after="0" w:line="240" w:lineRule="auto"/>
        <w:rPr>
          <w:rFonts w:ascii="Times New Roman" w:hAnsi="Times New Roman" w:cs="Times New Roman"/>
          <w:b/>
        </w:rPr>
      </w:pP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Включение архивных документов в состав архивных фондов Чукотского автономного округа производится на основании экспертизы их ценности в порядке, установленном федеральным законодательством.</w:t>
      </w:r>
    </w:p>
    <w:p w:rsidR="00681F9C" w:rsidRDefault="00642703">
      <w:pPr>
        <w:pStyle w:val="western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Решение вопросов о включении в состав архивных фондов Чукотского автономного округа конкретных документов осуществляется экспертно -проверочной методической комиссией уполномоченного органа в пределах его компетенции.</w:t>
      </w:r>
    </w:p>
    <w:p w:rsidR="00681F9C" w:rsidRDefault="00642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Включение архивных документов, находящихся в частной собственности, в состав архивных фондов Чукотского автономного округа осуществляется по заявлению собственника на основании экспертизы ценности документов в порядке, установленном федеральным законодательством.</w:t>
      </w:r>
    </w:p>
    <w:p w:rsidR="00681F9C" w:rsidRDefault="00681F9C">
      <w:pPr>
        <w:ind w:firstLine="709"/>
        <w:jc w:val="both"/>
        <w:rPr>
          <w:sz w:val="28"/>
          <w:szCs w:val="28"/>
        </w:rPr>
      </w:pPr>
    </w:p>
    <w:tbl>
      <w:tblPr>
        <w:tblW w:w="8897" w:type="dxa"/>
        <w:tblInd w:w="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481"/>
      </w:tblGrid>
      <w:tr w:rsidR="00681F9C">
        <w:tc>
          <w:tcPr>
            <w:tcW w:w="1416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Статья 14.</w:t>
            </w:r>
          </w:p>
        </w:tc>
        <w:tc>
          <w:tcPr>
            <w:tcW w:w="7480" w:type="dxa"/>
          </w:tcPr>
          <w:p w:rsidR="00681F9C" w:rsidRDefault="00642703">
            <w:pPr>
              <w:widowControl/>
              <w:shd w:val="clear" w:color="auto" w:fill="FFFFFF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Организация комплектования, хранения, учета и использования документов архивных фондов Чукотского автономного округа</w:t>
            </w:r>
          </w:p>
        </w:tc>
      </w:tr>
    </w:tbl>
    <w:p w:rsidR="00681F9C" w:rsidRDefault="00681F9C">
      <w:pPr>
        <w:widowControl/>
        <w:shd w:val="clear" w:color="auto" w:fill="FFFFFF"/>
        <w:ind w:firstLine="709"/>
        <w:jc w:val="both"/>
        <w:rPr>
          <w:b/>
          <w:sz w:val="27"/>
          <w:szCs w:val="27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Организация комплектования, хранения, учета и использования архивных фондов Чукотского автономного округа, доступ к архивным документам, гражданский оборот документов архивных фондов Чукотского автономного округа, защита права собственности на архивные документы осуществляются в соответствии с федеральным законодательством об архивном деле.</w:t>
      </w:r>
    </w:p>
    <w:p w:rsidR="00681F9C" w:rsidRDefault="00681F9C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>Глава 4. Заключительные положения</w:t>
      </w:r>
    </w:p>
    <w:p w:rsidR="00681F9C" w:rsidRDefault="00681F9C">
      <w:pPr>
        <w:widowControl/>
        <w:shd w:val="clear" w:color="auto" w:fill="FFFFFF"/>
        <w:ind w:firstLine="709"/>
        <w:jc w:val="both"/>
        <w:rPr>
          <w:b/>
          <w:sz w:val="27"/>
          <w:szCs w:val="27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>Статья 15. Вступление в силу настоящего закона</w:t>
      </w:r>
    </w:p>
    <w:p w:rsidR="00681F9C" w:rsidRDefault="00681F9C">
      <w:pPr>
        <w:widowControl/>
        <w:shd w:val="clear" w:color="auto" w:fill="FFFFFF"/>
        <w:ind w:firstLine="709"/>
        <w:jc w:val="both"/>
        <w:rPr>
          <w:b/>
          <w:sz w:val="27"/>
          <w:szCs w:val="27"/>
        </w:rPr>
      </w:pPr>
    </w:p>
    <w:p w:rsidR="00681F9C" w:rsidRDefault="00642703">
      <w:pPr>
        <w:widowControl/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81F9C" w:rsidRDefault="00681F9C">
      <w:pPr>
        <w:ind w:firstLine="709"/>
        <w:jc w:val="both"/>
        <w:rPr>
          <w:sz w:val="28"/>
          <w:szCs w:val="28"/>
        </w:rPr>
      </w:pPr>
    </w:p>
    <w:p w:rsidR="00681F9C" w:rsidRDefault="00681F9C">
      <w:pPr>
        <w:ind w:firstLine="709"/>
        <w:jc w:val="both"/>
        <w:rPr>
          <w:sz w:val="28"/>
          <w:szCs w:val="28"/>
        </w:rPr>
      </w:pPr>
    </w:p>
    <w:p w:rsidR="00681F9C" w:rsidRDefault="00681F9C">
      <w:pPr>
        <w:jc w:val="both"/>
        <w:rPr>
          <w:sz w:val="28"/>
          <w:szCs w:val="28"/>
        </w:rPr>
      </w:pPr>
    </w:p>
    <w:p w:rsidR="00681F9C" w:rsidRDefault="0064270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Чукотского</w:t>
      </w:r>
    </w:p>
    <w:p w:rsidR="00681F9C" w:rsidRDefault="00642703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681F9C" w:rsidRDefault="00681F9C">
      <w:pPr>
        <w:jc w:val="both"/>
        <w:rPr>
          <w:sz w:val="28"/>
          <w:szCs w:val="28"/>
        </w:rPr>
      </w:pPr>
    </w:p>
    <w:p w:rsidR="00681F9C" w:rsidRDefault="00681F9C">
      <w:pPr>
        <w:jc w:val="both"/>
        <w:rPr>
          <w:sz w:val="28"/>
          <w:szCs w:val="28"/>
        </w:rPr>
      </w:pPr>
    </w:p>
    <w:p w:rsidR="00681F9C" w:rsidRDefault="00642703">
      <w:pPr>
        <w:ind w:left="60" w:right="143" w:hanging="10"/>
        <w:jc w:val="both"/>
        <w:rPr>
          <w:sz w:val="28"/>
        </w:rPr>
      </w:pPr>
      <w:r>
        <w:rPr>
          <w:sz w:val="28"/>
        </w:rPr>
        <w:t>г. Анадырь</w:t>
      </w:r>
    </w:p>
    <w:p w:rsidR="00681F9C" w:rsidRDefault="00681F9C">
      <w:pPr>
        <w:ind w:left="60" w:right="143" w:hanging="10"/>
        <w:jc w:val="both"/>
        <w:rPr>
          <w:sz w:val="28"/>
        </w:rPr>
      </w:pPr>
    </w:p>
    <w:p w:rsidR="00681F9C" w:rsidRDefault="00642703">
      <w:pPr>
        <w:ind w:left="60" w:right="143" w:hanging="10"/>
        <w:jc w:val="both"/>
        <w:rPr>
          <w:sz w:val="28"/>
        </w:rPr>
      </w:pPr>
      <w:r>
        <w:rPr>
          <w:sz w:val="28"/>
        </w:rPr>
        <w:t>«26» декабря 2025 года</w:t>
      </w:r>
    </w:p>
    <w:p w:rsidR="00681F9C" w:rsidRDefault="00681F9C">
      <w:pPr>
        <w:ind w:left="60" w:right="143" w:hanging="10"/>
        <w:jc w:val="both"/>
        <w:rPr>
          <w:sz w:val="28"/>
        </w:rPr>
      </w:pPr>
    </w:p>
    <w:p w:rsidR="00681F9C" w:rsidRDefault="00642703">
      <w:pPr>
        <w:ind w:left="60" w:right="143" w:hanging="10"/>
        <w:jc w:val="both"/>
        <w:rPr>
          <w:sz w:val="28"/>
        </w:rPr>
      </w:pPr>
      <w:r>
        <w:rPr>
          <w:sz w:val="28"/>
        </w:rPr>
        <w:t>№ 103- ОЗ</w:t>
      </w:r>
    </w:p>
    <w:p w:rsidR="00681F9C" w:rsidRDefault="00681F9C">
      <w:pPr>
        <w:jc w:val="both"/>
        <w:rPr>
          <w:b/>
          <w:sz w:val="28"/>
          <w:szCs w:val="28"/>
        </w:rPr>
      </w:pPr>
    </w:p>
    <w:p w:rsidR="00681F9C" w:rsidRDefault="00681F9C">
      <w:pPr>
        <w:jc w:val="both"/>
        <w:rPr>
          <w:b/>
          <w:sz w:val="28"/>
          <w:szCs w:val="28"/>
        </w:rPr>
      </w:pPr>
    </w:p>
    <w:p w:rsidR="00681F9C" w:rsidRDefault="00681F9C">
      <w:pPr>
        <w:jc w:val="both"/>
        <w:rPr>
          <w:b/>
          <w:sz w:val="28"/>
          <w:szCs w:val="28"/>
        </w:rPr>
      </w:pPr>
    </w:p>
    <w:sectPr w:rsidR="00681F9C" w:rsidSect="00642703">
      <w:headerReference w:type="default" r:id="rId8"/>
      <w:pgSz w:w="11906" w:h="16838"/>
      <w:pgMar w:top="1134" w:right="851" w:bottom="1134" w:left="1418" w:header="851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B9" w:rsidRDefault="004E79B9">
      <w:r>
        <w:separator/>
      </w:r>
    </w:p>
  </w:endnote>
  <w:endnote w:type="continuationSeparator" w:id="0">
    <w:p w:rsidR="004E79B9" w:rsidRDefault="004E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B9" w:rsidRDefault="004E79B9">
      <w:r>
        <w:separator/>
      </w:r>
    </w:p>
  </w:footnote>
  <w:footnote w:type="continuationSeparator" w:id="0">
    <w:p w:rsidR="004E79B9" w:rsidRDefault="004E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2"/>
  <w:p w:rsidR="00681F9C" w:rsidRDefault="00642703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9C3AC1">
      <w:rPr>
        <w:noProof/>
      </w:rPr>
      <w:t>6</w:t>
    </w:r>
    <w: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203"/>
    <w:multiLevelType w:val="multilevel"/>
    <w:tmpl w:val="7CA41D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53131A"/>
    <w:multiLevelType w:val="multilevel"/>
    <w:tmpl w:val="0498B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EA5388"/>
    <w:multiLevelType w:val="multilevel"/>
    <w:tmpl w:val="A676AD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1"/>
  </w:compat>
  <w:rsids>
    <w:rsidRoot w:val="00681F9C"/>
    <w:rsid w:val="004E79B9"/>
    <w:rsid w:val="00642703"/>
    <w:rsid w:val="00681F9C"/>
    <w:rsid w:val="009C3AC1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3D5DD-1192-47DC-A710-30BFB685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a3">
    <w:name w:val="Основной текст Знак"/>
    <w:qFormat/>
    <w:rPr>
      <w:sz w:val="28"/>
      <w:lang w:bidi="ar-SA"/>
    </w:rPr>
  </w:style>
  <w:style w:type="character" w:customStyle="1" w:styleId="a4">
    <w:name w:val="Текст Знак"/>
    <w:qFormat/>
    <w:rPr>
      <w:rFonts w:ascii="Courier New" w:hAnsi="Courier New" w:cs="Courier New"/>
      <w:lang w:bidi="ar-SA"/>
    </w:rPr>
  </w:style>
  <w:style w:type="character" w:customStyle="1" w:styleId="2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5">
    <w:name w:val="Основной текст (5)_"/>
    <w:qFormat/>
    <w:rPr>
      <w:shd w:val="clear" w:color="auto" w:fill="FFFFFF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8">
    <w:name w:val="Body Text"/>
    <w:basedOn w:val="a"/>
    <w:pPr>
      <w:widowControl/>
      <w:overflowPunct w:val="0"/>
      <w:textAlignment w:val="baseline"/>
    </w:pPr>
    <w:rPr>
      <w:sz w:val="28"/>
    </w:r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"/>
    </w:rPr>
  </w:style>
  <w:style w:type="paragraph" w:styleId="ac">
    <w:name w:val="Plain Text"/>
    <w:basedOn w:val="a"/>
    <w:qFormat/>
    <w:pPr>
      <w:widowControl/>
    </w:pPr>
    <w:rPr>
      <w:rFonts w:ascii="Courier New" w:hAnsi="Courier New" w:cs="Courier New"/>
    </w:rPr>
  </w:style>
  <w:style w:type="paragraph" w:styleId="ad">
    <w:name w:val="Normal (Web)"/>
    <w:basedOn w:val="a"/>
    <w:qFormat/>
    <w:pPr>
      <w:widowControl/>
      <w:spacing w:before="100" w:after="100"/>
    </w:pPr>
    <w:rPr>
      <w:sz w:val="24"/>
      <w:szCs w:val="24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240" w:line="581" w:lineRule="exact"/>
      <w:jc w:val="center"/>
    </w:pPr>
    <w:rPr>
      <w:sz w:val="26"/>
      <w:szCs w:val="26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line="278" w:lineRule="exact"/>
      <w:jc w:val="both"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western">
    <w:name w:val="western"/>
    <w:basedOn w:val="a"/>
    <w:qFormat/>
    <w:pPr>
      <w:widowControl/>
      <w:spacing w:before="100" w:after="142" w:line="276" w:lineRule="auto"/>
      <w:jc w:val="both"/>
    </w:pPr>
    <w:rPr>
      <w:rFonts w:ascii="XO Thames" w:hAnsi="XO Thames" w:cs="XO Thames"/>
      <w:sz w:val="28"/>
      <w:szCs w:val="28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1">
    <w:name w:val="header"/>
    <w:basedOn w:val="HeaderandFooter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cp:lastPrinted>2025-12-26T00:17:00Z</cp:lastPrinted>
  <dcterms:created xsi:type="dcterms:W3CDTF">2025-12-26T00:14:00Z</dcterms:created>
  <dcterms:modified xsi:type="dcterms:W3CDTF">2025-12-26T00:17:00Z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2025-12-18T09:32:00Z</dcterms:created>
  <dc:creator>Андрей</dc:creator>
  <dc:description/>
  <dc:language>ru-RU</dc:language>
  <cp:lastModifiedBy/>
  <cp:lastPrinted>2025-12-23T10:24:12Z</cp:lastPrinted>
  <dcterms:modified xsi:type="dcterms:W3CDTF">2025-12-23T15:53:12Z</dcterms:modified>
  <cp:revision>15</cp:revision>
  <dc:subject/>
  <dc:title/>
</cp:coreProperties>
</file>