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FC" w:rsidRDefault="005643FC" w:rsidP="000B089C">
      <w:pPr>
        <w:ind w:left="-142" w:firstLine="142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9781"/>
      </w:tblGrid>
      <w:tr w:rsidR="005643FC" w:rsidRPr="00593B52" w:rsidTr="000B089C">
        <w:trPr>
          <w:jc w:val="center"/>
        </w:trPr>
        <w:tc>
          <w:tcPr>
            <w:tcW w:w="9781" w:type="dxa"/>
          </w:tcPr>
          <w:p w:rsidR="005643FC" w:rsidRPr="00593B52" w:rsidRDefault="006D2438" w:rsidP="000B089C">
            <w:pPr>
              <w:ind w:left="-105"/>
              <w:jc w:val="center"/>
              <w:rPr>
                <w:b/>
              </w:rPr>
            </w:pPr>
            <w:r w:rsidRPr="00593B52">
              <w:rPr>
                <w:b/>
                <w:sz w:val="22"/>
                <w:szCs w:val="22"/>
              </w:rPr>
              <w:t>ДЕПАРТАМЕНТ СОЦИАЛЬНОЙ</w:t>
            </w:r>
            <w:r w:rsidR="005643FC" w:rsidRPr="00593B52">
              <w:rPr>
                <w:b/>
                <w:sz w:val="22"/>
                <w:szCs w:val="22"/>
              </w:rPr>
              <w:t xml:space="preserve"> ПОЛИТИКИ ЧУКОТСКОГО АВТОНОМНОГО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064"/>
        <w:gridCol w:w="283"/>
        <w:gridCol w:w="567"/>
        <w:gridCol w:w="851"/>
        <w:gridCol w:w="4323"/>
      </w:tblGrid>
      <w:tr w:rsidR="005643FC" w:rsidRPr="008A0055" w:rsidTr="006D2438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064" w:type="dxa"/>
            <w:vAlign w:val="center"/>
          </w:tcPr>
          <w:p w:rsidR="005643FC" w:rsidRPr="008A0055" w:rsidRDefault="00973D1A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13 февраля 2023 года </w:t>
            </w:r>
          </w:p>
        </w:tc>
        <w:tc>
          <w:tcPr>
            <w:tcW w:w="283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51" w:type="dxa"/>
            <w:vAlign w:val="center"/>
          </w:tcPr>
          <w:p w:rsidR="005643FC" w:rsidRPr="008A0055" w:rsidRDefault="00973D1A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4323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5643FC" w:rsidRDefault="005643FC" w:rsidP="005643FC">
      <w:pPr>
        <w:jc w:val="both"/>
        <w:outlineLvl w:val="2"/>
        <w:rPr>
          <w:sz w:val="26"/>
          <w:szCs w:val="26"/>
        </w:rPr>
      </w:pPr>
    </w:p>
    <w:p w:rsidR="006D2438" w:rsidRDefault="006D2438" w:rsidP="005643FC">
      <w:pPr>
        <w:jc w:val="both"/>
        <w:outlineLvl w:val="2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2"/>
      </w:tblGrid>
      <w:tr w:rsidR="005643FC" w:rsidRPr="009316C1" w:rsidTr="006D2438">
        <w:tc>
          <w:tcPr>
            <w:tcW w:w="4536" w:type="dxa"/>
          </w:tcPr>
          <w:p w:rsidR="005643FC" w:rsidRPr="00D24C1C" w:rsidRDefault="00D24C1C" w:rsidP="00307725">
            <w:pPr>
              <w:jc w:val="both"/>
              <w:outlineLvl w:val="2"/>
              <w:rPr>
                <w:sz w:val="28"/>
                <w:szCs w:val="28"/>
              </w:rPr>
            </w:pPr>
            <w:bookmarkStart w:id="0" w:name="_Hlk115779725"/>
            <w:r w:rsidRPr="00D24C1C">
              <w:rPr>
                <w:sz w:val="28"/>
                <w:szCs w:val="28"/>
              </w:rPr>
              <w:t>О внесении изменений в некоторые приказы Департамента социальной политики Чукотского автономного округа</w:t>
            </w:r>
            <w:bookmarkEnd w:id="0"/>
          </w:p>
        </w:tc>
        <w:tc>
          <w:tcPr>
            <w:tcW w:w="5102" w:type="dxa"/>
          </w:tcPr>
          <w:p w:rsidR="005643FC" w:rsidRPr="009316C1" w:rsidRDefault="005643FC" w:rsidP="0008070D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5643FC" w:rsidRDefault="005643FC" w:rsidP="005643FC">
      <w:pPr>
        <w:jc w:val="both"/>
        <w:rPr>
          <w:sz w:val="28"/>
          <w:szCs w:val="28"/>
        </w:rPr>
      </w:pPr>
    </w:p>
    <w:p w:rsidR="006D2438" w:rsidRPr="000D2735" w:rsidRDefault="006D2438" w:rsidP="005643FC">
      <w:pPr>
        <w:jc w:val="both"/>
        <w:rPr>
          <w:sz w:val="28"/>
          <w:szCs w:val="28"/>
        </w:rPr>
      </w:pPr>
    </w:p>
    <w:p w:rsidR="00D24C1C" w:rsidRPr="00D24C1C" w:rsidRDefault="007922BB" w:rsidP="007922BB">
      <w:pPr>
        <w:ind w:firstLine="709"/>
        <w:jc w:val="both"/>
        <w:rPr>
          <w:sz w:val="28"/>
          <w:szCs w:val="28"/>
        </w:rPr>
      </w:pPr>
      <w:r w:rsidRPr="007922BB">
        <w:rPr>
          <w:sz w:val="28"/>
          <w:szCs w:val="28"/>
        </w:rPr>
        <w:t>В целях уточнения отдельных положений нормативных правовых актов Департамента социальной политики Чукотского автономного округа в соответствие с законодательством Российской Федерации,</w:t>
      </w:r>
    </w:p>
    <w:p w:rsidR="003D2DD3" w:rsidRPr="000D2735" w:rsidRDefault="006D2438" w:rsidP="005643FC">
      <w:pPr>
        <w:rPr>
          <w:sz w:val="28"/>
          <w:szCs w:val="28"/>
        </w:rPr>
      </w:pPr>
    </w:p>
    <w:p w:rsidR="005643FC" w:rsidRPr="000D2735" w:rsidRDefault="005643FC" w:rsidP="005643FC">
      <w:pPr>
        <w:pStyle w:val="a8"/>
        <w:spacing w:line="240" w:lineRule="auto"/>
        <w:ind w:firstLine="0"/>
        <w:rPr>
          <w:b/>
          <w:spacing w:val="20"/>
          <w:sz w:val="28"/>
          <w:szCs w:val="28"/>
        </w:rPr>
      </w:pPr>
      <w:r w:rsidRPr="000D2735">
        <w:rPr>
          <w:b/>
          <w:spacing w:val="20"/>
          <w:sz w:val="28"/>
          <w:szCs w:val="28"/>
        </w:rPr>
        <w:t>ПРИКАЗЫВАЮ:</w:t>
      </w:r>
    </w:p>
    <w:p w:rsidR="005643FC" w:rsidRPr="000D2735" w:rsidRDefault="005643FC" w:rsidP="005643FC">
      <w:pPr>
        <w:rPr>
          <w:sz w:val="28"/>
          <w:szCs w:val="28"/>
        </w:rPr>
      </w:pP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1. Внести в Приложение к Приказу Департамента социальной политики Чукотского автономного округа от 24 января 2023 года № 36 «Об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«Содействие гражданам в поиске подходящей работы» следующ</w:t>
      </w:r>
      <w:r w:rsidR="007922BB">
        <w:rPr>
          <w:sz w:val="28"/>
          <w:szCs w:val="28"/>
        </w:rPr>
        <w:t>ие и</w:t>
      </w:r>
      <w:r w:rsidRPr="00D24C1C">
        <w:rPr>
          <w:sz w:val="28"/>
          <w:szCs w:val="28"/>
        </w:rPr>
        <w:t>змен</w:t>
      </w:r>
      <w:r w:rsidR="007922BB">
        <w:rPr>
          <w:sz w:val="28"/>
          <w:szCs w:val="28"/>
        </w:rPr>
        <w:t>ения</w:t>
      </w:r>
      <w:r w:rsidRPr="00D24C1C">
        <w:rPr>
          <w:sz w:val="28"/>
          <w:szCs w:val="28"/>
        </w:rPr>
        <w:t>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 2.8 раздела 2 «Стандарт предоставления государственной услуги»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«2.8. Исчерпывающий перечень оснований для приостановления государственной услуги или отказа в предоставлении государственной услуги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2.8.1. Основанием для приостановления предоставления государственной услуги является направление ГКУ</w:t>
      </w:r>
      <w:r w:rsidR="00B313CD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гражданина на профессиональное обучение и получение дополнительного профессионального образования.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2.8.2. Основаниями для отказа в предоставлении государственной услуги являются: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1) непредставление или представление не всех документов, предусмотренных пунктом 2.6.1 настоящего раздела;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2) отказ заявителя от предоставления государственной услуги.»;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 3.3.8 подраздела «Подбор гражданину подходящей работы» раздела 3 «Состав,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«3.3.8. ГКУ</w:t>
      </w:r>
      <w:r w:rsidR="00B313CD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 xml:space="preserve">ЧАО «МЦЗН» предлагает пройти профессиональное обучение или получить дополнительное профессиональное образование по направлению </w:t>
      </w:r>
      <w:r w:rsidRPr="00D24C1C">
        <w:rPr>
          <w:sz w:val="28"/>
          <w:szCs w:val="28"/>
        </w:rPr>
        <w:lastRenderedPageBreak/>
        <w:t>ГКУ</w:t>
      </w:r>
      <w:r w:rsidR="00B313CD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женщинам, находящимся в отпуске по уходу за ребёнком до достижения им возраста трёх лет, незанятым гражданам, которым назначена страховая пенсия по старости и которые стремятся возобновить трудовую деятельность.»;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 5.5 раздела 5 «Досудебный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«5.5. Жалоба на решения и действия (бездействие) Департамента, должностного лица Департамента, государственного служащего, начальника Департамента, ГКУ</w:t>
      </w:r>
      <w:r w:rsidR="00B313CD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работника ГКУ</w:t>
      </w:r>
      <w:r w:rsidR="00B313CD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ГКУ «МФЦ Чукотского автономного округа», работника ГКУ «МФЦ Чукотского автономного округа» может быть направлена по почте, через ГКУ «МФЦ Чукотского автономного округа», с использованием сети «Интернет», единого портала либо регионального портала, а также может быть принята при личном приёме заявителя.».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2.</w:t>
      </w:r>
      <w:r w:rsidR="00B313CD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Внести в Приложение к Приказу Департамента социальной политики Чукотского автономного округа от 24 января 2023 года № 37 «Об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«Содействие работодателям в подборе необходимых работников» следующие изменения: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пункты 3.11.3, 3.11.4 подраздела «Требования к реализации сервиса «Массовый отбор кандидатов на работу»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«3.11.3. ГКУ</w:t>
      </w:r>
      <w:r w:rsidR="006D2438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в срок не позднее 2 рабочих дней с момента принятия заявления с использованием единой цифровой платформы направляет работодателю, за исключением случаев, предусмотренных пунктом 3.11.4. настоящего Административного регламента, уведомление, содержащее: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1) перечень подобранных кандидатур работников и резюме по каждому кандидату;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2) информацию о порядке согласования работодателем с гражданами (кандидатами на работу) даты и времени проведения переговоров о трудоустройстве (собеседования) и направления в ГКУ</w:t>
      </w:r>
      <w:r w:rsidR="006D2438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сведений о результатах указанных переговоров (собеседования) в течение 14 дней или в иной срок, согласованный между работодателем и ГКУ</w:t>
      </w:r>
      <w:r w:rsidR="006D2438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и (или) предусмотренный законодательством, с использованием единой цифровой платформы.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3.11.4. В случае реализации ГКУ</w:t>
      </w:r>
      <w:r w:rsidR="006D2438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сервиса «Массовый отбор кандидатов на работу», ГКУ</w:t>
      </w:r>
      <w:r w:rsidR="006D2438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1) перечень подобранных кандидатур работников с указанием результатов проведения массового отбора по каждому кандидату;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lastRenderedPageBreak/>
        <w:t>2) информацию о порядке направления в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сведений о результатах переговоров о трудоустройстве (собеседования) с гражданами (кандидатами на работу) в течение 14 дней или в иной срок, согласованный между работодателем и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или предусмотренный законодательством, с использованием единой цифровой платформы.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 также направляет работодателю отчёт о реализации сервиса «Массовый отбор кандидатов на работу».»;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 5.5 раздела 5 «Досудебный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«5.5. Жалоба на решения и действия (бездействие) Департамента, должностного лица Департамента, государственного служащего, начальника Департамента,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работника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ГКУ «МФЦ Чукотского автономного округа», работника ГКУ «МФЦ Чукотского автономного округа» может быть направлена по почте, через ГКУ «МФЦ Чукотского автономного округа», с использованием сети «Интернет», единого портала либо регионального портала, а также может быть принята при личном приёме заявителя.».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3. Внести в Приложение к Приказу Департамента социальной политики Чукотского автономного округа от 24 января 2023 года № 38 «Об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«Содействие безработным гражданам и гражданам, зарегистрированным в органах службы занятости в целях поиска подходящей работы, в переезде и безработным гражданам и гражданам, зарегистрированным в органах службы 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занятости» следующие изменения: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 2.6.5 подраздела 2.6 «Исчерпывающий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раздела 2 «Общие положения»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«2.6.5. Заявление подаётся гражданином в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«МЦЗН, в котором гражданин состоит на учёте в качестве безработного, или в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 по месту жительства гражданина, зарегистрированного в органах службы занятости в целях поиска подходящей работы, в форме электронного документа с использованием единой цифровой платформы.»;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пункт 5.4 раздела 5 «Досудебный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государственных служащих, работников» изложить в следующей редакции:</w:t>
      </w:r>
    </w:p>
    <w:p w:rsidR="00D24C1C" w:rsidRPr="00D24C1C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lastRenderedPageBreak/>
        <w:t>«5.4. Жалоба на решения и действия (бездействие) Департамента, должностного лица Департамента, государственного служащего, начальника Департамента,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работника ГКУ</w:t>
      </w:r>
      <w:r w:rsidR="004647E9">
        <w:rPr>
          <w:sz w:val="28"/>
          <w:szCs w:val="28"/>
        </w:rPr>
        <w:t xml:space="preserve"> </w:t>
      </w:r>
      <w:r w:rsidRPr="00D24C1C">
        <w:rPr>
          <w:sz w:val="28"/>
          <w:szCs w:val="28"/>
        </w:rPr>
        <w:t>ЧАО «МЦЗН», ГКУ «МФЦ Чукотского автономного округа», работника ГКУ «МФЦ Чукотского автономного округа» может быть направлена по почте, через ГКУ «МФЦ Чукотского автономного округа», с использованием сети «Интернет», единого портала либо регионального портала, а также может быть принята при личном приёме заявителя.».</w:t>
      </w:r>
    </w:p>
    <w:p w:rsidR="000D2735" w:rsidRDefault="00D24C1C" w:rsidP="00436F25">
      <w:pPr>
        <w:ind w:firstLine="709"/>
        <w:jc w:val="both"/>
        <w:rPr>
          <w:sz w:val="28"/>
          <w:szCs w:val="28"/>
        </w:rPr>
      </w:pPr>
      <w:r w:rsidRPr="00D24C1C">
        <w:rPr>
          <w:sz w:val="28"/>
          <w:szCs w:val="28"/>
        </w:rPr>
        <w:t>4. Контроль за исполнением настоящего приказа оставляю за собой.</w:t>
      </w:r>
    </w:p>
    <w:p w:rsidR="000D2735" w:rsidRDefault="006D2438" w:rsidP="006D2438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D58BAB">
            <wp:simplePos x="0" y="0"/>
            <wp:positionH relativeFrom="column">
              <wp:posOffset>2861945</wp:posOffset>
            </wp:positionH>
            <wp:positionV relativeFrom="paragraph">
              <wp:posOffset>8890</wp:posOffset>
            </wp:positionV>
            <wp:extent cx="1647825" cy="1638300"/>
            <wp:effectExtent l="0" t="0" r="9525" b="0"/>
            <wp:wrapNone/>
            <wp:docPr id="3" name="Рисунок 3" descr="Описание: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2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9" t="20749" r="18515" b="1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438" w:rsidRDefault="006D2438" w:rsidP="006D2438">
      <w:pPr>
        <w:ind w:firstLine="709"/>
        <w:jc w:val="both"/>
        <w:rPr>
          <w:sz w:val="28"/>
          <w:szCs w:val="28"/>
        </w:rPr>
      </w:pPr>
    </w:p>
    <w:p w:rsidR="006D2438" w:rsidRDefault="006D2438" w:rsidP="006D2438">
      <w:pPr>
        <w:ind w:firstLine="709"/>
        <w:jc w:val="both"/>
        <w:rPr>
          <w:sz w:val="28"/>
          <w:szCs w:val="28"/>
        </w:rPr>
      </w:pPr>
    </w:p>
    <w:p w:rsidR="006D2438" w:rsidRPr="006D2438" w:rsidRDefault="006D2438" w:rsidP="006D2438">
      <w:pPr>
        <w:jc w:val="both"/>
        <w:rPr>
          <w:sz w:val="32"/>
          <w:szCs w:val="28"/>
        </w:rPr>
      </w:pPr>
      <w:proofErr w:type="spellStart"/>
      <w:r w:rsidRPr="006D2438">
        <w:rPr>
          <w:sz w:val="28"/>
          <w:szCs w:val="26"/>
        </w:rPr>
        <w:t>И.о</w:t>
      </w:r>
      <w:proofErr w:type="spellEnd"/>
      <w:r w:rsidRPr="006D2438">
        <w:rPr>
          <w:sz w:val="28"/>
          <w:szCs w:val="26"/>
        </w:rPr>
        <w:t>. начальника Департамента                                                                  Л.Н. Брянцева</w:t>
      </w:r>
    </w:p>
    <w:p w:rsidR="006D2438" w:rsidRPr="000D2735" w:rsidRDefault="006D2438" w:rsidP="006D2438">
      <w:pPr>
        <w:ind w:firstLine="709"/>
        <w:jc w:val="both"/>
        <w:rPr>
          <w:sz w:val="28"/>
          <w:szCs w:val="28"/>
        </w:rPr>
      </w:pP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  <w:bookmarkStart w:id="1" w:name="_GoBack"/>
      <w:bookmarkEnd w:id="1"/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0D"/>
    <w:rsid w:val="000408E3"/>
    <w:rsid w:val="000B089C"/>
    <w:rsid w:val="000D2735"/>
    <w:rsid w:val="00122ABC"/>
    <w:rsid w:val="00222D20"/>
    <w:rsid w:val="00285174"/>
    <w:rsid w:val="00295347"/>
    <w:rsid w:val="002B5C5E"/>
    <w:rsid w:val="00307725"/>
    <w:rsid w:val="003112A4"/>
    <w:rsid w:val="0042634F"/>
    <w:rsid w:val="00436F25"/>
    <w:rsid w:val="004647E9"/>
    <w:rsid w:val="005643FC"/>
    <w:rsid w:val="005F7C30"/>
    <w:rsid w:val="00662D9F"/>
    <w:rsid w:val="0067671C"/>
    <w:rsid w:val="006D2438"/>
    <w:rsid w:val="00775002"/>
    <w:rsid w:val="007922BB"/>
    <w:rsid w:val="0090460D"/>
    <w:rsid w:val="00973D1A"/>
    <w:rsid w:val="00985FBF"/>
    <w:rsid w:val="00A5260B"/>
    <w:rsid w:val="00B313CD"/>
    <w:rsid w:val="00BB7946"/>
    <w:rsid w:val="00C05885"/>
    <w:rsid w:val="00C45C38"/>
    <w:rsid w:val="00C7405C"/>
    <w:rsid w:val="00C7639B"/>
    <w:rsid w:val="00D24C1C"/>
    <w:rsid w:val="00E57677"/>
    <w:rsid w:val="00E9321D"/>
    <w:rsid w:val="00EA13C8"/>
    <w:rsid w:val="00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B25"/>
  <w15:docId w15:val="{B6EAFD2F-3DF9-40EA-9EFF-F7B2101C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org</cp:lastModifiedBy>
  <cp:revision>4</cp:revision>
  <cp:lastPrinted>2023-02-13T21:44:00Z</cp:lastPrinted>
  <dcterms:created xsi:type="dcterms:W3CDTF">2023-02-13T05:31:00Z</dcterms:created>
  <dcterms:modified xsi:type="dcterms:W3CDTF">2023-02-15T04:51:00Z</dcterms:modified>
</cp:coreProperties>
</file>